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ascii="宋体" w:hAnsi="宋体" w:eastAsia="宋体" w:cs="Times New Roman"/>
          <w:b/>
          <w:color w:val="auto"/>
          <w:sz w:val="72"/>
          <w:szCs w:val="20"/>
          <w:highlight w:val="none"/>
        </w:rPr>
      </w:pPr>
      <w:r/>
      <w:bookmarkStart w:id="0" w:name="_Toc66955857"/>
      <w:r/>
      <w:bookmarkStart w:id="1" w:name="_Toc31626"/>
      <w:r/>
      <w:bookmarkStart w:id="2" w:name="_Toc66955858"/>
      <w:r/>
      <w:bookmarkStart w:id="3" w:name="_Toc20031"/>
      <w:r/>
      <w:bookmarkStart w:id="4" w:name="_Toc9568"/>
      <w:r/>
      <w:bookmarkStart w:id="5" w:name="_Toc66955859"/>
      <w:r/>
      <w:bookmarkStart w:id="6" w:name="_Toc3502"/>
      <w:r/>
      <w:bookmarkStart w:id="7" w:name="_Toc13642115"/>
      <w:r/>
      <w:bookmarkStart w:id="8" w:name="_Toc66955860"/>
      <w:r/>
      <w:bookmarkStart w:id="9" w:name="_Toc14692"/>
      <w:r/>
      <w:bookmarkStart w:id="10" w:name="_Toc66955861"/>
      <w:r/>
      <w:bookmarkStart w:id="11" w:name="_Toc66955862"/>
      <w:r>
        <w:rPr>
          <w:rFonts w:hint="eastAsia" w:ascii="宋体" w:hAnsi="宋体" w:eastAsia="宋体" w:cs="Times New Roman"/>
          <w:b/>
          <w:color w:val="auto"/>
          <w:sz w:val="72"/>
          <w:szCs w:val="20"/>
          <w:highlight w:val="none"/>
        </w:rPr>
        <w:t xml:space="preserve">苏州市姑苏区政府采购</w:t>
      </w:r>
      <w:r/>
    </w:p>
    <w:p>
      <w:pPr>
        <w:jc w:val="center"/>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jc w:val="center"/>
        <w:widowControl/>
        <w:rPr>
          <w:rFonts w:ascii="宋体" w:hAnsi="宋体" w:eastAsia="宋体" w:cs="Times New Roman"/>
          <w:b/>
          <w:color w:val="auto"/>
          <w:sz w:val="72"/>
          <w:szCs w:val="20"/>
          <w:highlight w:val="none"/>
        </w:rPr>
      </w:pPr>
      <w:r>
        <w:rPr>
          <w:rFonts w:hint="eastAsia" w:ascii="宋体" w:hAnsi="宋体" w:eastAsia="宋体" w:cs="Times New Roman"/>
          <w:b/>
          <w:color w:val="auto"/>
          <w:sz w:val="72"/>
          <w:szCs w:val="20"/>
          <w:highlight w:val="none"/>
        </w:rPr>
        <w:t xml:space="preserve">招标文件</w:t>
      </w:r>
      <w:r/>
    </w:p>
    <w:p>
      <w:pPr>
        <w:jc w:val="center"/>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jc w:val="center"/>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pStyle w:val="687"/>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pStyle w:val="687"/>
      </w:pPr>
      <w:r/>
      <w:r/>
    </w:p>
    <w:p>
      <w:pPr>
        <w:jc w:val="center"/>
        <w:widowControl/>
        <w:rPr>
          <w:rFonts w:ascii="宋体" w:hAnsi="宋体" w:eastAsia="宋体" w:cs="Times New Roman"/>
          <w:color w:val="auto"/>
          <w:sz w:val="26"/>
          <w:szCs w:val="26"/>
          <w:highlight w:val="none"/>
        </w:rPr>
      </w:pPr>
      <w:r>
        <w:rPr>
          <w:rFonts w:ascii="宋体" w:hAnsi="宋体" w:eastAsia="宋体" w:cs="Times New Roman"/>
          <w:color w:val="auto"/>
          <w:sz w:val="26"/>
          <w:szCs w:val="26"/>
          <w:highlight w:val="none"/>
        </w:rPr>
      </w:r>
      <w:r/>
    </w:p>
    <w:p>
      <w:pPr>
        <w:ind w:left="1029"/>
        <w:jc w:val="left"/>
        <w:spacing w:line="360" w:lineRule="auto"/>
        <w:widowControl/>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color w:val="auto"/>
          <w:spacing w:val="-6"/>
          <w:sz w:val="32"/>
          <w:szCs w:val="32"/>
          <w:highlight w:val="none"/>
        </w:rPr>
        <w:t xml:space="preserve">采购编号</w:t>
      </w:r>
      <w:r>
        <w:rPr>
          <w:rFonts w:hint="eastAsia" w:ascii="宋体" w:hAnsi="宋体" w:eastAsia="宋体" w:cs="Times New Roman"/>
          <w:b/>
          <w:bCs/>
          <w:color w:val="auto"/>
          <w:sz w:val="32"/>
          <w:szCs w:val="32"/>
          <w:highlight w:val="none"/>
        </w:rPr>
        <w:t xml:space="preserve">：</w:t>
      </w:r>
      <w:r>
        <w:rPr>
          <w:rFonts w:hint="eastAsia" w:ascii="宋体" w:hAnsi="宋体" w:cs="Times New Roman"/>
          <w:b/>
          <w:bCs/>
          <w:color w:val="auto"/>
          <w:sz w:val="32"/>
          <w:szCs w:val="32"/>
          <w:highlight w:val="none"/>
          <w:lang w:eastAsia="zh-CN"/>
        </w:rPr>
        <w:t xml:space="preserve">JSZC-320508-XDZJ-G2026-0001</w:t>
      </w:r>
      <w:r/>
    </w:p>
    <w:p>
      <w:pPr>
        <w:ind w:left="2575" w:hanging="1546"/>
        <w:jc w:val="left"/>
        <w:spacing w:line="360" w:lineRule="auto"/>
        <w:widowControl/>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color w:val="auto"/>
          <w:spacing w:val="-6"/>
          <w:sz w:val="32"/>
          <w:szCs w:val="32"/>
          <w:highlight w:val="none"/>
        </w:rPr>
        <w:t xml:space="preserve">采购单位</w:t>
      </w:r>
      <w:r>
        <w:rPr>
          <w:rFonts w:hint="eastAsia" w:ascii="宋体" w:hAnsi="宋体" w:eastAsia="宋体" w:cs="Times New Roman"/>
          <w:b/>
          <w:bCs/>
          <w:color w:val="auto"/>
          <w:sz w:val="32"/>
          <w:szCs w:val="32"/>
          <w:highlight w:val="none"/>
        </w:rPr>
        <w:t xml:space="preserve">：</w:t>
      </w:r>
      <w:r>
        <w:rPr>
          <w:rFonts w:hint="eastAsia" w:ascii="宋体" w:hAnsi="宋体" w:cs="Times New Roman"/>
          <w:b/>
          <w:bCs/>
          <w:color w:val="auto"/>
          <w:sz w:val="32"/>
          <w:szCs w:val="32"/>
          <w:highlight w:val="none"/>
          <w:lang w:eastAsia="zh-CN"/>
        </w:rPr>
        <w:t xml:space="preserve">苏州市姑苏区住房和建设委员会</w:t>
      </w:r>
      <w:r/>
    </w:p>
    <w:p>
      <w:pPr>
        <w:ind w:left="2635" w:hanging="1606"/>
        <w:jc w:val="left"/>
        <w:spacing w:line="360" w:lineRule="auto"/>
        <w:widowControl/>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rPr>
        <w:t xml:space="preserve">采购内容：</w:t>
      </w:r>
      <w:r>
        <w:rPr>
          <w:rFonts w:hint="eastAsia" w:ascii="宋体" w:hAnsi="宋体" w:cs="Times New Roman"/>
          <w:b/>
          <w:bCs/>
          <w:color w:val="auto"/>
          <w:sz w:val="32"/>
          <w:szCs w:val="32"/>
          <w:highlight w:val="none"/>
          <w:lang w:eastAsia="zh-CN"/>
        </w:rPr>
        <w:t xml:space="preserve">老旧小区视频监控设施维护（2025）</w:t>
      </w:r>
      <w:r/>
    </w:p>
    <w:p>
      <w:pPr>
        <w:ind w:left="1029"/>
        <w:jc w:val="left"/>
        <w:spacing w:line="360" w:lineRule="auto"/>
        <w:widowControl/>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采购类别：[服务类] </w:t>
      </w:r>
      <w:r/>
    </w:p>
    <w:p>
      <w:pPr>
        <w:jc w:val="center"/>
        <w:widowControl/>
        <w:rPr>
          <w:rFonts w:ascii="宋体" w:hAnsi="宋体" w:eastAsia="宋体" w:cs="Times New Roman"/>
          <w:color w:val="auto"/>
          <w:sz w:val="26"/>
          <w:highlight w:val="none"/>
        </w:rPr>
      </w:pPr>
      <w:r>
        <w:rPr>
          <w:rFonts w:ascii="宋体" w:hAnsi="宋体" w:eastAsia="宋体" w:cs="Times New Roman"/>
          <w:color w:val="auto"/>
          <w:sz w:val="26"/>
          <w:highlight w:val="none"/>
        </w:rPr>
      </w:r>
      <w:r/>
    </w:p>
    <w:p>
      <w:pPr>
        <w:pStyle w:val="687"/>
        <w:rPr>
          <w:rFonts w:ascii="宋体" w:hAnsi="宋体" w:eastAsia="宋体" w:cs="Times New Roman"/>
          <w:color w:val="auto"/>
          <w:sz w:val="26"/>
          <w:highlight w:val="none"/>
        </w:rPr>
      </w:pPr>
      <w:r>
        <w:rPr>
          <w:rFonts w:ascii="宋体" w:hAnsi="宋体" w:eastAsia="宋体" w:cs="Times New Roman"/>
          <w:color w:val="auto"/>
          <w:sz w:val="26"/>
          <w:highlight w:val="none"/>
        </w:rPr>
      </w:r>
      <w:r/>
    </w:p>
    <w:p>
      <w:r/>
      <w:r/>
    </w:p>
    <w:p>
      <w:pPr>
        <w:jc w:val="center"/>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widowControl/>
        <w:rPr>
          <w:rFonts w:ascii="宋体" w:hAnsi="宋体" w:eastAsia="宋体" w:cs="Times New Roman"/>
          <w:color w:val="auto"/>
          <w:sz w:val="26"/>
          <w:highlight w:val="none"/>
        </w:rPr>
      </w:pPr>
      <w:r>
        <w:rPr>
          <w:rFonts w:ascii="宋体" w:hAnsi="宋体" w:eastAsia="宋体" w:cs="Times New Roman"/>
          <w:color w:val="auto"/>
          <w:sz w:val="26"/>
          <w:highlight w:val="none"/>
        </w:rPr>
        <mc:AlternateContent>
          <mc:Choice Requires="wpg">
            <w:drawing>
              <wp:inline xmlns:wp="http://schemas.openxmlformats.org/drawingml/2006/wordprocessingDrawing" distT="0" distB="0" distL="0" distR="0">
                <wp:extent cx="1066800" cy="929640"/>
                <wp:effectExtent l="0" t="0" r="0" b="3810"/>
                <wp:docPr id="2" name="图片 1" descr="QQ图片2018021318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80213183716"/>
                        <pic:cNvPicPr>
                          <a:picLocks noChangeAspect="1"/>
                        </pic:cNvPicPr>
                        <pic:nvPr/>
                      </pic:nvPicPr>
                      <pic:blipFill>
                        <a:blip r:embed="rId11"/>
                        <a:stretch/>
                      </pic:blipFill>
                      <pic:spPr bwMode="auto">
                        <a:xfrm>
                          <a:off x="0" y="0"/>
                          <a:ext cx="1066800" cy="9296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4.0pt;height:73.2pt;mso-wrap-distance-left:0.0pt;mso-wrap-distance-top:0.0pt;mso-wrap-distance-right:0.0pt;mso-wrap-distance-bottom:0.0pt;" stroked="f">
                <v:path textboxrect="0,0,0,0"/>
                <v:imagedata r:id="rId11" o:title=""/>
              </v:shape>
            </w:pict>
          </mc:Fallback>
        </mc:AlternateContent>
      </w:r>
      <w:r/>
    </w:p>
    <w:p>
      <w:pPr>
        <w:jc w:val="center"/>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jc w:val="center"/>
        <w:widowControl/>
        <w:rPr>
          <w:rFonts w:ascii="宋体" w:hAnsi="宋体" w:eastAsia="宋体" w:cs="Times New Roman"/>
          <w:color w:val="auto"/>
          <w:sz w:val="26"/>
          <w:highlight w:val="none"/>
        </w:rPr>
      </w:pPr>
      <w:r>
        <w:rPr>
          <w:rFonts w:ascii="宋体" w:hAnsi="宋体" w:eastAsia="宋体" w:cs="Times New Roman"/>
          <w:color w:val="auto"/>
          <w:sz w:val="26"/>
          <w:highlight w:val="none"/>
        </w:rPr>
      </w:r>
      <w:r/>
    </w:p>
    <w:p>
      <w:pPr>
        <w:jc w:val="center"/>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line="360" w:lineRule="auto"/>
        <w:widowControl/>
        <w:rPr>
          <w:rFonts w:hint="eastAsia" w:ascii="宋体" w:hAnsi="宋体" w:eastAsia="宋体" w:cs="Times New Roman"/>
          <w:b/>
          <w:color w:val="auto"/>
          <w:sz w:val="32"/>
          <w:szCs w:val="20"/>
          <w:highlight w:val="none"/>
          <w:lang w:eastAsia="zh-CN"/>
        </w:rPr>
      </w:pPr>
      <w:r>
        <w:rPr>
          <w:rFonts w:hint="eastAsia" w:ascii="宋体" w:hAnsi="宋体" w:cs="Times New Roman"/>
          <w:b/>
          <w:color w:val="auto"/>
          <w:sz w:val="32"/>
          <w:szCs w:val="20"/>
          <w:highlight w:val="none"/>
          <w:lang w:eastAsia="zh-CN"/>
        </w:rPr>
        <w:t xml:space="preserve">苏州信德咨询有限公司</w:t>
      </w:r>
      <w:r/>
    </w:p>
    <w:p>
      <w:pPr>
        <w:ind w:firstLine="2891"/>
        <w:rPr>
          <w:rFonts w:hint="eastAsia" w:ascii="宋体" w:hAnsi="宋体" w:eastAsia="宋体" w:cs="Times New Roman"/>
          <w:b/>
          <w:bCs/>
          <w:color w:val="auto"/>
          <w:sz w:val="32"/>
          <w:szCs w:val="32"/>
          <w:highlight w:val="none"/>
        </w:rPr>
      </w:pPr>
      <w:r>
        <w:rPr>
          <w:rFonts w:hint="eastAsia" w:ascii="宋体" w:hAnsi="宋体" w:cs="Times New Roman"/>
          <w:b/>
          <w:color w:val="auto"/>
          <w:sz w:val="32"/>
          <w:szCs w:val="20"/>
          <w:highlight w:val="none"/>
          <w:lang w:eastAsia="zh-CN"/>
        </w:rPr>
        <w:t xml:space="preserve">二○二</w:t>
      </w:r>
      <w:r>
        <w:rPr>
          <w:rFonts w:hint="eastAsia" w:ascii="宋体" w:hAnsi="宋体" w:cs="Times New Roman"/>
          <w:b/>
          <w:color w:val="auto"/>
          <w:sz w:val="32"/>
          <w:szCs w:val="20"/>
          <w:highlight w:val="none"/>
          <w:lang w:val="en-US" w:eastAsia="zh-CN"/>
        </w:rPr>
        <w:t xml:space="preserve">六</w:t>
      </w:r>
      <w:r>
        <w:rPr>
          <w:rFonts w:hint="eastAsia" w:ascii="宋体" w:hAnsi="宋体" w:cs="Times New Roman"/>
          <w:b/>
          <w:color w:val="auto"/>
          <w:sz w:val="32"/>
          <w:szCs w:val="20"/>
          <w:highlight w:val="none"/>
          <w:lang w:eastAsia="zh-CN"/>
        </w:rPr>
        <w:t xml:space="preserve">年</w:t>
      </w:r>
      <w:r>
        <w:rPr>
          <w:rFonts w:hint="eastAsia" w:ascii="宋体" w:hAnsi="宋体" w:cs="Times New Roman"/>
          <w:b/>
          <w:color w:val="auto"/>
          <w:sz w:val="32"/>
          <w:szCs w:val="20"/>
          <w:highlight w:val="none"/>
          <w:lang w:val="en-US" w:eastAsia="zh-CN"/>
        </w:rPr>
        <w:t xml:space="preserve">一</w:t>
      </w:r>
      <w:r>
        <w:rPr>
          <w:rFonts w:hint="eastAsia" w:ascii="宋体" w:hAnsi="宋体" w:cs="Times New Roman"/>
          <w:b/>
          <w:color w:val="auto"/>
          <w:sz w:val="32"/>
          <w:szCs w:val="20"/>
          <w:highlight w:val="none"/>
          <w:lang w:eastAsia="zh-CN"/>
        </w:rPr>
        <w:t xml:space="preserve">月</w:t>
      </w:r>
      <w:r/>
    </w:p>
    <w:p>
      <w:pPr>
        <w:jc w:val="center"/>
        <w:spacing w:line="360" w:lineRule="auto"/>
        <w:widowControl/>
        <w:rPr>
          <w:rFonts w:ascii="宋体" w:hAnsi="宋体" w:eastAsia="宋体" w:cs="Times New Roman"/>
          <w:b/>
          <w:color w:val="auto"/>
          <w:sz w:val="32"/>
          <w:szCs w:val="32"/>
          <w:highlight w:val="none"/>
        </w:rPr>
        <w:outlineLvl w:val="0"/>
      </w:pPr>
      <w:r>
        <w:rPr>
          <w:rFonts w:hint="eastAsia" w:ascii="宋体" w:hAnsi="宋体" w:eastAsia="宋体" w:cs="Times New Roman"/>
          <w:b/>
          <w:color w:val="auto"/>
          <w:sz w:val="32"/>
          <w:szCs w:val="32"/>
          <w:highlight w:val="none"/>
        </w:rPr>
        <w:t xml:space="preserve">前附表</w:t>
      </w:r>
      <w:r/>
    </w:p>
    <w:tbl>
      <w:tblPr>
        <w:tblStyle w:val="69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5"/>
        <w:gridCol w:w="9096"/>
      </w:tblGrid>
      <w:tr>
        <w:trPr>
          <w:jc w:val="center"/>
        </w:trPr>
        <w:tc>
          <w:tcPr>
            <w:tcW w:w="725" w:type="dxa"/>
            <w:vAlign w:val="center"/>
            <w:textDirection w:val="lrTb"/>
            <w:noWrap w:val="false"/>
          </w:tcPr>
          <w:p>
            <w:pPr>
              <w:jc w:val="cente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9096" w:type="dxa"/>
            <w:vAlign w:val="center"/>
            <w:textDirection w:val="lrTb"/>
            <w:noWrap w:val="false"/>
          </w:tcPr>
          <w:p>
            <w:pPr>
              <w:jc w:val="center"/>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内容规定</w:t>
            </w:r>
            <w:r/>
          </w:p>
        </w:tc>
      </w:tr>
      <w:tr>
        <w:trPr>
          <w:jc w:val="center"/>
          <w:trHeight w:val="361"/>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9096" w:type="dxa"/>
            <w:vAlign w:val="center"/>
            <w:textDirection w:val="lrTb"/>
            <w:noWrap w:val="false"/>
          </w:tcPr>
          <w:p>
            <w:pPr>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bCs/>
                <w:color w:val="auto"/>
                <w:sz w:val="24"/>
                <w:highlight w:val="none"/>
                <w:lang w:eastAsia="zh-CN"/>
              </w:rPr>
              <w:t xml:space="preserve">老旧小区视频监控设施维护（2025）</w:t>
            </w:r>
            <w:r/>
          </w:p>
        </w:tc>
      </w:tr>
      <w:tr>
        <w:trPr>
          <w:jc w:val="center"/>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9096" w:type="dxa"/>
            <w:vAlign w:val="center"/>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投标有效期从提交投标文件的截止之日起算</w:t>
            </w:r>
            <w:r>
              <w:rPr>
                <w:rFonts w:hint="eastAsia" w:ascii="宋体" w:hAnsi="宋体" w:cs="宋体"/>
                <w:color w:val="auto"/>
                <w:sz w:val="24"/>
                <w:highlight w:val="none"/>
                <w:lang w:val="en-US" w:eastAsia="zh-CN"/>
              </w:rPr>
              <w:t xml:space="preserve">九十</w:t>
            </w:r>
            <w:r>
              <w:rPr>
                <w:rFonts w:hint="eastAsia" w:ascii="宋体" w:hAnsi="宋体" w:eastAsia="宋体" w:cs="宋体"/>
                <w:color w:val="auto"/>
                <w:sz w:val="24"/>
                <w:highlight w:val="none"/>
              </w:rPr>
              <w:t xml:space="preserve">天（日历日）</w:t>
            </w:r>
            <w:r/>
          </w:p>
        </w:tc>
      </w:tr>
      <w:tr>
        <w:trPr>
          <w:jc w:val="center"/>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096" w:type="dxa"/>
            <w:vAlign w:val="center"/>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投标保证金：</w:t>
            </w:r>
            <w:r/>
          </w:p>
          <w:p>
            <w:pPr>
              <w:jc w:val="left"/>
              <w:spacing w:line="360" w:lineRule="auto"/>
              <w:widowControl/>
              <w:rPr>
                <w:rFonts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不需提交，采购文件中有关投标保证金的规定均不适用。</w:t>
            </w:r>
            <w:r/>
          </w:p>
          <w:p>
            <w:pPr>
              <w:ind w:firstLine="482"/>
              <w:jc w:val="left"/>
              <w:spacing w:line="360" w:lineRule="auto"/>
              <w:widowControl/>
              <w:rPr>
                <w:rFonts w:ascii="宋体" w:hAnsi="宋体" w:eastAsia="宋体" w:cs="宋体"/>
                <w:bCs/>
                <w:color w:val="auto"/>
                <w:sz w:val="24"/>
                <w:highlight w:val="none"/>
              </w:rPr>
            </w:pPr>
            <w:r>
              <w:rPr>
                <w:rFonts w:hint="eastAsia" w:ascii="宋体" w:hAnsi="宋体" w:eastAsia="宋体" w:cs="Times New Roman"/>
                <w:b/>
                <w:bCs/>
                <w:color w:val="auto"/>
                <w:sz w:val="24"/>
                <w:highlight w:val="none"/>
              </w:rPr>
              <w:t xml:space="preserve">如果项目不收投标（响应）保证金的，投标（响应）人应在投标（响应）文件中提交《投标（响应）保证承诺书》（格式详见招标文件第三章）。</w:t>
            </w:r>
            <w:r/>
          </w:p>
        </w:tc>
      </w:tr>
      <w:tr>
        <w:trPr>
          <w:jc w:val="center"/>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4</w:t>
            </w:r>
            <w:r/>
          </w:p>
        </w:tc>
        <w:tc>
          <w:tcPr>
            <w:tcW w:w="9096" w:type="dxa"/>
            <w:vAlign w:val="center"/>
            <w:textDirection w:val="lrTb"/>
            <w:noWrap w:val="false"/>
          </w:tcPr>
          <w:p>
            <w:pPr>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获取采购文件：</w:t>
            </w:r>
            <w:r>
              <w:rPr>
                <w:rFonts w:hint="eastAsia" w:ascii="宋体" w:hAnsi="宋体" w:cs="宋体"/>
                <w:color w:val="auto"/>
                <w:sz w:val="24"/>
                <w:highlight w:val="none"/>
                <w:lang w:val="en-US" w:eastAsia="zh-CN"/>
              </w:rPr>
              <w:t xml:space="preserve">详见招标文件第一章</w:t>
            </w:r>
            <w:r/>
          </w:p>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报名成功的供应商通过“苏州市政府采购网”的“采购公告”自行查看所报项目的补充通知。</w:t>
            </w:r>
            <w:r/>
          </w:p>
        </w:tc>
      </w:tr>
      <w:tr>
        <w:trPr>
          <w:jc w:val="center"/>
        </w:trPr>
        <w:tc>
          <w:tcPr>
            <w:tcW w:w="72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9096" w:type="dxa"/>
            <w:vAlign w:val="center"/>
            <w:textDirection w:val="lrTb"/>
            <w:noWrap w:val="false"/>
          </w:tcPr>
          <w:p>
            <w:pPr>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投标质疑</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认为招标文件、采购过程或中标、成交结果使自己的权益受到损害的，可以在知道或者应知其权益受到损害之日起7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供应商必须在法定质疑期内一次性提出针对同一采购程序环节的质疑，否则不予受理。</w:t>
            </w:r>
            <w:r/>
          </w:p>
          <w:p>
            <w:pPr>
              <w:jc w:val="left"/>
              <w:spacing w:line="360" w:lineRule="auto"/>
              <w:widowControl/>
              <w:rPr>
                <w:rFonts w:hint="eastAsia"/>
                <w:color w:val="auto"/>
                <w:highlight w:val="none"/>
              </w:rPr>
            </w:pPr>
            <w:r>
              <w:rPr>
                <w:rFonts w:hint="eastAsia" w:ascii="宋体" w:hAnsi="宋体" w:eastAsia="宋体" w:cs="宋体"/>
                <w:color w:val="auto"/>
                <w:sz w:val="24"/>
                <w:highlight w:val="none"/>
                <w:lang w:val="en-US" w:eastAsia="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但因供应商资格条件或报名时间设定不符合有关法律法规规定等原因使供应商权益受损的除外</w:t>
            </w:r>
            <w:r>
              <w:rPr>
                <w:rFonts w:hint="eastAsia" w:ascii="宋体" w:hAnsi="宋体" w:eastAsia="宋体" w:cs="宋体"/>
                <w:color w:val="auto"/>
                <w:sz w:val="24"/>
                <w:szCs w:val="24"/>
                <w:highlight w:val="none"/>
                <w:lang w:val="en-US" w:eastAsia="zh-CN" w:bidi="ar-SA"/>
              </w:rPr>
              <w:t xml:space="preserve">。</w:t>
            </w:r>
            <w:r/>
          </w:p>
        </w:tc>
      </w:tr>
      <w:tr>
        <w:trPr>
          <w:jc w:val="center"/>
        </w:trPr>
        <w:tc>
          <w:tcPr>
            <w:tcW w:w="72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096" w:type="dxa"/>
            <w:vAlign w:val="center"/>
            <w:textDirection w:val="lrTb"/>
            <w:noWrap w:val="false"/>
          </w:tcPr>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投标文件    本项目采用电子响应文件，供应商按照采购文件要求制作上传电子响应文件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供应商无需提供纸质响应文件。</w:t>
            </w:r>
            <w:r/>
          </w:p>
        </w:tc>
      </w:tr>
      <w:tr>
        <w:trPr>
          <w:jc w:val="center"/>
        </w:trPr>
        <w:tc>
          <w:tcPr>
            <w:tcW w:w="725"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096" w:type="dxa"/>
            <w:vAlign w:val="center"/>
            <w:textDirection w:val="lrTb"/>
            <w:noWrap w:val="false"/>
          </w:tcPr>
          <w:p>
            <w:pPr>
              <w:jc w:val="left"/>
              <w:spacing w:line="360" w:lineRule="auto"/>
              <w:widowControl/>
              <w:rPr>
                <w:rFonts w:hint="eastAsia" w:ascii="宋体" w:hAnsi="宋体" w:cs="宋体"/>
                <w:color w:val="000000" w:themeColor="text1"/>
                <w:sz w:val="24"/>
                <w:highlight w:val="none"/>
              </w:rPr>
            </w:pPr>
            <w:r>
              <w:rPr>
                <w:rFonts w:hint="eastAsia" w:ascii="宋体" w:hAnsi="宋体" w:eastAsia="宋体" w:cs="宋体"/>
                <w:color w:val="auto"/>
                <w:sz w:val="24"/>
                <w:highlight w:val="none"/>
              </w:rPr>
              <w:t xml:space="preserve">开启时间</w:t>
            </w:r>
            <w:r>
              <w:rPr>
                <w:rFonts w:hint="eastAsia" w:ascii="宋体" w:hAnsi="宋体" w:cs="宋体"/>
                <w:color w:val="000000" w:themeColor="text1"/>
                <w:sz w:val="24"/>
                <w:highlight w:val="none"/>
                <w:lang w:val="en-US" w:eastAsia="zh-CN"/>
              </w:rPr>
              <w:t xml:space="preserve">：2026年1月28 日 13点30分（</w:t>
            </w:r>
            <w:r>
              <w:rPr>
                <w:rFonts w:hint="eastAsia" w:ascii="宋体" w:hAnsi="宋体" w:cs="宋体"/>
                <w:color w:val="000000" w:themeColor="text1"/>
                <w:sz w:val="24"/>
                <w:highlight w:val="none"/>
                <w:lang w:val="en-US" w:eastAsia="zh-CN"/>
              </w:rPr>
              <w:t xml:space="preserve">北京时间）</w:t>
            </w:r>
            <w:r>
              <w:rPr>
                <w:color w:val="000000" w:themeColor="text1"/>
              </w:rP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开启地点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“苏采云”系统（网址：http://jszfcg.jsczt.cn/）</w:t>
            </w:r>
            <w:r/>
          </w:p>
          <w:p>
            <w:pPr>
              <w:pStyle w:val="700"/>
              <w:ind w:left="0" w:firstLine="0"/>
              <w:jc w:val="left"/>
              <w:rPr>
                <w:color w:val="auto"/>
                <w:highlight w:val="none"/>
              </w:rPr>
            </w:pPr>
            <w:r>
              <w:rPr>
                <w:rFonts w:hint="eastAsia" w:ascii="宋体" w:hAnsi="宋体" w:eastAsia="宋体" w:cs="宋体"/>
                <w:b/>
                <w:bCs/>
                <w:color w:val="auto"/>
                <w:sz w:val="21"/>
                <w:szCs w:val="21"/>
                <w:highlight w:val="none"/>
                <w:lang w:val="en-US" w:eastAsia="zh-CN" w:bidi="ar-SA"/>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W w:w="9096" w:type="dxa"/>
            <w:vAlign w:val="center"/>
            <w:textDirection w:val="lrTb"/>
            <w:noWrap w:val="false"/>
          </w:tcPr>
          <w:p>
            <w:pPr>
              <w:jc w:val="left"/>
              <w:spacing w:line="360" w:lineRule="auto"/>
              <w:widowControl/>
              <w:rPr>
                <w:rFonts w:ascii="宋体" w:hAnsi="宋体" w:eastAsia="宋体" w:cs="Times New Roman"/>
                <w:color w:val="auto"/>
                <w:sz w:val="24"/>
                <w:highlight w:val="none"/>
              </w:rPr>
            </w:pPr>
            <w:r/>
            <w:bookmarkStart w:id="12" w:name="OLE_LINK14"/>
            <w:r>
              <w:rPr>
                <w:rFonts w:hint="eastAsia" w:ascii="宋体" w:hAnsi="宋体" w:eastAsia="宋体" w:cs="Times New Roman"/>
                <w:color w:val="auto"/>
                <w:sz w:val="24"/>
                <w:highlight w:val="none"/>
              </w:rPr>
              <w:t xml:space="preserve">代理服务收费</w:t>
            </w:r>
            <w:bookmarkEnd w:id="12"/>
            <w:r>
              <w:rPr>
                <w:rFonts w:hint="eastAsia" w:ascii="宋体" w:hAnsi="宋体" w:eastAsia="宋体" w:cs="Times New Roman"/>
                <w:color w:val="auto"/>
                <w:sz w:val="24"/>
                <w:highlight w:val="none"/>
              </w:rPr>
              <w:t xml:space="preserve">标准：</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代理服务收费以采购预算金额为基数依据，收费比例是采用差额定率累进法分段确定收费比例，收费比例为：</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预算金额≦100万元的部分，该部分预算金额费率为1.5%；</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100万元&lt;预算金额≦500万元的部分，该部分预算金额费率为1.1%；</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500万元&lt;预算金额≦1000万元的部分，该部分预算金额费率为0.8%；</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1000万元&lt;预算金额≦5000万元的部分，该部分预算金额费率为0.5%；</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预算金额&gt;5000万元的部分，该部分预算金额费率为0.25%。</w:t>
            </w:r>
            <w:r/>
          </w:p>
          <w:p>
            <w:pPr>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备注：代理服务收费以预算金额为基数依据，按以上规定的收费比例差额定率累进法进行计算收取。例：如某代理业务预算金额为150万元，则代理服务费＝100万元×1.5%＋（150－100）万元×1.1%。如按上述方法计算的金额低于人民币</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000元的，则代理服务收费按人民币</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000元整计取。代理服务费由中标供应商支付，领取中标通知书时向采购代理机构一次性付清。</w:t>
            </w:r>
            <w:r/>
          </w:p>
          <w:p>
            <w:pPr>
              <w:ind w:firstLine="480"/>
              <w:spacing w:line="360" w:lineRule="auto"/>
              <w:rPr>
                <w:rFonts w:hint="eastAsia" w:ascii="宋体" w:hAnsi="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账户名称：苏州信德咨询有限公司</w:t>
            </w:r>
            <w:r>
              <w:rPr>
                <w:rFonts w:hint="eastAsia" w:ascii="宋体" w:hAnsi="宋体" w:cs="Times New Roman"/>
                <w:color w:val="auto"/>
                <w:sz w:val="24"/>
                <w:szCs w:val="24"/>
                <w:highlight w:val="none"/>
                <w:lang w:eastAsia="zh-CN"/>
              </w:rPr>
              <w:t xml:space="preserve">  </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开户行：中国农业银行股份有限公司苏州吴中支行</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账号：10538301040006796</w:t>
            </w:r>
            <w:r/>
          </w:p>
          <w:p>
            <w:pPr>
              <w:jc w:val="left"/>
              <w:spacing w:line="360" w:lineRule="auto"/>
              <w:widowControl/>
              <w:tabs>
                <w:tab w:val="left" w:pos="720" w:leader="none"/>
              </w:tabs>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    供应商缴纳代理服务费时，如需增值税专用发票的，则须提供有关信息资料，具体要求详见第二章。</w:t>
            </w:r>
            <w:r/>
          </w:p>
        </w:tc>
      </w:tr>
      <w:tr>
        <w:trPr>
          <w:jc w:val="center"/>
          <w:trHeight w:val="618"/>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096" w:type="dxa"/>
            <w:vAlign w:val="center"/>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苏州市姑苏区政府采购管理监督电话：0512-68728409</w:t>
            </w:r>
            <w:r/>
          </w:p>
        </w:tc>
      </w:tr>
      <w:tr>
        <w:trPr>
          <w:jc w:val="center"/>
          <w:trHeight w:val="618"/>
        </w:trPr>
        <w:tc>
          <w:tcPr>
            <w:tcW w:w="725"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096" w:type="dxa"/>
            <w:vAlign w:val="center"/>
            <w:textDirection w:val="lrTb"/>
            <w:noWrap w:val="false"/>
          </w:tcPr>
          <w:p>
            <w:pPr>
              <w:jc w:val="left"/>
              <w:spacing w:line="360" w:lineRule="auto"/>
              <w:widowControl/>
              <w:tabs>
                <w:tab w:val="left" w:pos="72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评标办法：综合评分法</w:t>
            </w:r>
            <w:r/>
          </w:p>
        </w:tc>
      </w:tr>
    </w:tbl>
    <w:p>
      <w:pPr>
        <w:rPr>
          <w:rFonts w:hint="eastAsia" w:ascii="宋体" w:hAnsi="宋体" w:eastAsia="宋体" w:cs="Times New Roman"/>
          <w:b/>
          <w:color w:val="auto"/>
          <w:sz w:val="36"/>
          <w:highlight w:val="none"/>
        </w:rPr>
      </w:pPr>
      <w:r>
        <w:rPr>
          <w:rFonts w:hint="eastAsia" w:ascii="宋体" w:hAnsi="宋体" w:eastAsia="宋体" w:cs="Times New Roman"/>
          <w:b/>
          <w:color w:val="auto"/>
          <w:sz w:val="36"/>
          <w:highlight w:val="none"/>
        </w:rPr>
      </w:r>
      <w:r/>
    </w:p>
    <w:p>
      <w:pPr>
        <w:jc w:val="center"/>
        <w:spacing w:after="312"/>
        <w:widowControl/>
        <w:rPr>
          <w:rFonts w:ascii="宋体" w:hAnsi="宋体" w:eastAsia="宋体" w:cs="Times New Roman"/>
          <w:color w:val="auto"/>
          <w:sz w:val="52"/>
          <w:szCs w:val="52"/>
          <w:highlight w:val="none"/>
        </w:rPr>
      </w:pPr>
      <w:r>
        <w:rPr>
          <w:rFonts w:ascii="宋体" w:hAnsi="宋体" w:eastAsia="宋体" w:cs="Times New Roman"/>
          <w:color w:val="auto"/>
          <w:sz w:val="52"/>
          <w:szCs w:val="52"/>
          <w:highlight w:val="none"/>
        </w:rPr>
      </w:r>
      <w:r/>
    </w:p>
    <w:p>
      <w:pPr>
        <w:jc w:val="both"/>
        <w:spacing w:after="312"/>
        <w:widowControl/>
        <w:rPr>
          <w:rFonts w:hint="eastAsia" w:ascii="宋体" w:hAnsi="宋体" w:eastAsia="宋体" w:cs="Times New Roman"/>
          <w:color w:val="auto"/>
          <w:sz w:val="52"/>
          <w:szCs w:val="52"/>
          <w:highlight w:val="none"/>
        </w:rPr>
      </w:pPr>
      <w:r>
        <w:rPr>
          <w:rFonts w:hint="eastAsia" w:ascii="宋体" w:hAnsi="宋体" w:eastAsia="宋体" w:cs="Times New Roman"/>
          <w:color w:val="auto"/>
          <w:sz w:val="52"/>
          <w:szCs w:val="52"/>
          <w:highlight w:val="none"/>
        </w:rPr>
      </w:r>
      <w:r/>
    </w:p>
    <w:p>
      <w:pPr>
        <w:jc w:val="center"/>
        <w:spacing w:after="312"/>
        <w:widowControl/>
        <w:rPr>
          <w:rFonts w:hint="eastAsia" w:ascii="宋体" w:hAnsi="宋体" w:eastAsia="宋体" w:cs="Times New Roman"/>
          <w:color w:val="auto"/>
          <w:sz w:val="52"/>
          <w:szCs w:val="52"/>
          <w:highlight w:val="none"/>
        </w:rPr>
      </w:pPr>
      <w:r>
        <w:rPr>
          <w:rFonts w:hint="eastAsia" w:ascii="宋体" w:hAnsi="宋体" w:eastAsia="宋体" w:cs="Times New Roman"/>
          <w:color w:val="auto"/>
          <w:sz w:val="52"/>
          <w:szCs w:val="52"/>
          <w:highlight w:val="none"/>
        </w:rPr>
      </w:r>
      <w:r/>
    </w:p>
    <w:p>
      <w:pPr>
        <w:jc w:val="center"/>
        <w:spacing w:after="312"/>
        <w:widowControl/>
        <w:rPr>
          <w:rFonts w:ascii="宋体" w:hAnsi="宋体" w:eastAsia="宋体" w:cs="Times New Roman"/>
          <w:color w:val="auto"/>
          <w:sz w:val="52"/>
          <w:szCs w:val="52"/>
          <w:highlight w:val="none"/>
        </w:rPr>
      </w:pPr>
      <w:r>
        <w:rPr>
          <w:rFonts w:hint="eastAsia" w:ascii="宋体" w:hAnsi="宋体" w:eastAsia="宋体" w:cs="Times New Roman"/>
          <w:color w:val="auto"/>
          <w:sz w:val="52"/>
          <w:szCs w:val="52"/>
          <w:highlight w:val="none"/>
        </w:rPr>
        <w:t xml:space="preserve">总目录</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fldChar w:fldCharType="begin"/>
      </w:r>
      <w:r>
        <w:rPr>
          <w:rFonts w:ascii="宋体" w:hAnsi="宋体" w:eastAsia="宋体" w:cs="Times New Roman"/>
          <w:color w:val="auto"/>
          <w:sz w:val="24"/>
          <w:highlight w:val="none"/>
        </w:rPr>
        <w:instrText xml:space="preserve"> </w:instrText>
      </w:r>
      <w:r>
        <w:rPr>
          <w:rFonts w:hint="eastAsia" w:ascii="宋体" w:hAnsi="宋体" w:eastAsia="宋体" w:cs="Times New Roman"/>
          <w:color w:val="auto"/>
          <w:sz w:val="24"/>
          <w:highlight w:val="none"/>
        </w:rPr>
        <w:instrText xml:space="preserve">TOC \t "标题 1,1,标题 1（绿盟科技）,1"</w:instrText>
      </w:r>
      <w:r>
        <w:rPr>
          <w:rFonts w:ascii="宋体" w:hAnsi="宋体" w:eastAsia="宋体" w:cs="Times New Roman"/>
          <w:color w:val="auto"/>
          <w:sz w:val="24"/>
          <w:highlight w:val="none"/>
        </w:rPr>
        <w:instrText xml:space="preserve"> </w:instrText>
      </w:r>
      <w:r>
        <w:rPr>
          <w:rFonts w:ascii="宋体" w:hAnsi="宋体" w:eastAsia="宋体" w:cs="Times New Roman"/>
          <w:color w:val="auto"/>
          <w:sz w:val="24"/>
          <w:highlight w:val="none"/>
        </w:rPr>
        <w:fldChar w:fldCharType="separate"/>
      </w:r>
      <w:r>
        <w:rPr>
          <w:rFonts w:ascii="宋体" w:hAnsi="宋体" w:eastAsia="宋体" w:cs="Times New Roman"/>
          <w:color w:val="auto"/>
          <w:sz w:val="24"/>
          <w:highlight w:val="none"/>
        </w:rPr>
        <w:t xml:space="preserve">第一章 投标邀请函</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第二章 投标人须知</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第三章 投标文件格式</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第四章 招标书</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第五章 合同主要条款</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第六章 评标办法及标准</w:t>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tabs>
          <w:tab w:val="right" w:pos="9736" w:leader="dot"/>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rFonts w:hint="eastAsia" w:eastAsia="宋体" w:cs="Times New Roman"/>
          <w:color w:val="auto"/>
          <w:highlight w:val="none"/>
        </w:rPr>
      </w:pPr>
      <w:r>
        <w:rPr>
          <w:rFonts w:ascii="宋体" w:hAnsi="宋体" w:eastAsia="宋体" w:cs="Times New Roman"/>
          <w:color w:val="auto"/>
          <w:sz w:val="24"/>
          <w:highlight w:val="none"/>
        </w:rPr>
        <w:fldChar w:fldCharType="end"/>
      </w:r>
      <w:r/>
    </w:p>
    <w:p>
      <w:pPr>
        <w:jc w:val="center"/>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第一章 投标邀请函</w:t>
      </w:r>
      <w:bookmarkEnd w:id="0"/>
      <w:r/>
      <w:bookmarkEnd w:id="1"/>
      <w:r/>
      <w:r/>
    </w:p>
    <w:p>
      <w:pPr>
        <w:jc w:val="left"/>
        <w:spacing w:line="360" w:lineRule="auto"/>
        <w:widowControl/>
        <w:rPr>
          <w:rFonts w:hint="eastAsia" w:ascii="宋体" w:hAnsi="宋体" w:eastAsia="宋体" w:cs="Times New Roman"/>
          <w:color w:val="auto"/>
          <w:sz w:val="24"/>
          <w:highlight w:val="none"/>
        </w:rPr>
      </w:pPr>
      <w:r>
        <w:rPr>
          <w:rFonts w:ascii="宋体" w:hAnsi="宋体" w:eastAsia="宋体" w:cs="Times New Roman"/>
          <w:color w:val="auto"/>
          <w:sz w:val="24"/>
          <w:highlight w:val="none"/>
        </w:rPr>
        <w:br w:type="page" w:clear="all"/>
      </w:r>
      <w:r/>
    </w:p>
    <w:p>
      <w:pPr>
        <w:ind w:firstLine="723"/>
        <w:jc w:val="center"/>
        <w:spacing w:line="400" w:lineRule="exact"/>
        <w:widowControl w:val="off"/>
        <w:rPr>
          <w:rFonts w:hint="eastAsia" w:ascii="宋体" w:hAnsi="宋体" w:eastAsia="宋体" w:cs="宋体"/>
          <w:b/>
          <w:sz w:val="36"/>
          <w:szCs w:val="36"/>
          <w:highlight w:val="none"/>
          <w:lang w:val="en-US" w:eastAsia="zh-CN" w:bidi="ar-SA"/>
        </w:rPr>
      </w:pPr>
      <w:r/>
      <w:bookmarkStart w:id="13" w:name="_Toc28359012"/>
      <w:r/>
      <w:bookmarkStart w:id="14" w:name="_Toc35393798"/>
      <w:r/>
      <w:bookmarkStart w:id="15" w:name="_Toc28359089"/>
      <w:r/>
      <w:bookmarkStart w:id="16" w:name="_Toc35393629"/>
      <w:r>
        <w:rPr>
          <w:rFonts w:hint="eastAsia" w:ascii="宋体" w:hAnsi="宋体" w:eastAsia="宋体" w:cs="宋体"/>
          <w:b/>
          <w:sz w:val="36"/>
          <w:szCs w:val="36"/>
          <w:highlight w:val="none"/>
          <w:lang w:val="en-US" w:eastAsia="zh-CN" w:bidi="ar-SA"/>
        </w:rPr>
        <w:t xml:space="preserve">第一章  投标邀请函</w:t>
      </w:r>
      <w:r/>
    </w:p>
    <w:p>
      <w:pPr>
        <w:jc w:val="left"/>
        <w:spacing w:line="400" w:lineRule="exact"/>
        <w:widowControl w:val="off"/>
        <w:rPr>
          <w:rFonts w:ascii="宋体" w:hAnsi="宋体" w:eastAsia="宋体" w:cs="Times New Roman"/>
          <w:bCs/>
          <w:color w:val="auto"/>
          <w:sz w:val="36"/>
          <w:szCs w:val="36"/>
          <w:highlight w:val="none"/>
          <w:lang w:val="en-US" w:eastAsia="zh-CN" w:bidi="ar-SA"/>
        </w:rPr>
      </w:pPr>
      <w:r>
        <w:rPr>
          <w:rFonts w:ascii="宋体" w:hAnsi="宋体" w:eastAsia="宋体" w:cs="Times New Roman"/>
          <w:bCs/>
          <w:color w:val="auto"/>
          <w:sz w:val="36"/>
          <w:szCs w:val="36"/>
          <w:highlight w:val="none"/>
          <w:lang w:val="en-US" w:eastAsia="zh-CN" w:bidi="ar-SA"/>
        </w:rPr>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trHeight w:val="955"/>
        </w:trPr>
        <w:tc>
          <w:tcPr>
            <w:tcW w:w="8836" w:type="dxa"/>
            <w:textDirection w:val="lrTb"/>
            <w:noWrap w:val="false"/>
          </w:tcPr>
          <w:p>
            <w:pPr>
              <w:jc w:val="left"/>
              <w:spacing w:line="400" w:lineRule="exact"/>
              <w:widowControl w:val="off"/>
              <w:rPr>
                <w:rFonts w:hint="eastAsia" w:ascii="宋体" w:hAnsi="宋体" w:eastAsia="宋体" w:cs="Times New Roman"/>
                <w:bCs/>
                <w:color w:val="auto"/>
                <w:sz w:val="24"/>
                <w:szCs w:val="24"/>
                <w:highlight w:val="none"/>
                <w:vertAlign w:val="baseline"/>
                <w:lang w:val="en-US" w:eastAsia="zh-CN" w:bidi="ar-SA"/>
              </w:rPr>
            </w:pPr>
            <w:r>
              <w:rPr>
                <w:rFonts w:hint="eastAsia" w:ascii="宋体" w:hAnsi="宋体" w:eastAsia="宋体" w:cs="Times New Roman"/>
                <w:bCs/>
                <w:color w:val="auto"/>
                <w:sz w:val="24"/>
                <w:szCs w:val="24"/>
                <w:highlight w:val="none"/>
                <w:vertAlign w:val="baseline"/>
                <w:lang w:val="en-US" w:eastAsia="zh-CN" w:bidi="ar-SA"/>
              </w:rPr>
              <w:t xml:space="preserve">项目概况</w:t>
            </w:r>
            <w:r/>
          </w:p>
          <w:p>
            <w:pPr>
              <w:jc w:val="left"/>
              <w:spacing w:line="400" w:lineRule="exact"/>
              <w:widowControl w:val="off"/>
              <w:rPr>
                <w:rFonts w:ascii="宋体" w:hAnsi="宋体" w:eastAsia="宋体" w:cs="Times New Roman"/>
                <w:bCs/>
                <w:color w:val="auto"/>
                <w:sz w:val="24"/>
                <w:szCs w:val="24"/>
                <w:highlight w:val="none"/>
                <w:vertAlign w:val="baseline"/>
                <w:lang w:val="en-US" w:eastAsia="zh-CN" w:bidi="ar-SA"/>
              </w:rPr>
            </w:pPr>
            <w:r>
              <w:rPr>
                <w:rFonts w:hint="eastAsia" w:ascii="宋体" w:hAnsi="宋体" w:eastAsia="宋体" w:cs="Times New Roman"/>
                <w:bCs/>
                <w:color w:val="auto"/>
                <w:sz w:val="24"/>
                <w:szCs w:val="24"/>
                <w:highlight w:val="none"/>
                <w:u w:val="single"/>
                <w:vertAlign w:val="baseline"/>
                <w:lang w:val="en-US" w:eastAsia="zh-CN" w:bidi="ar-SA"/>
              </w:rPr>
              <w:t xml:space="preserve"> </w:t>
            </w:r>
            <w:r>
              <w:rPr>
                <w:rFonts w:hint="eastAsia" w:ascii="宋体" w:hAnsi="宋体" w:cs="Times New Roman"/>
                <w:bCs/>
                <w:color w:val="auto"/>
                <w:sz w:val="24"/>
                <w:szCs w:val="24"/>
                <w:highlight w:val="none"/>
                <w:u w:val="single"/>
                <w:vertAlign w:val="baseline"/>
                <w:lang w:val="en-US" w:eastAsia="zh-CN" w:bidi="ar-SA"/>
              </w:rPr>
              <w:t xml:space="preserve">老旧小区视频监控设施维护（2025）</w:t>
            </w:r>
            <w:r>
              <w:rPr>
                <w:rFonts w:hint="eastAsia" w:ascii="宋体" w:hAnsi="宋体" w:eastAsia="宋体" w:cs="Times New Roman"/>
                <w:bCs/>
                <w:color w:val="auto"/>
                <w:sz w:val="24"/>
                <w:szCs w:val="24"/>
                <w:highlight w:val="none"/>
                <w:vertAlign w:val="baseline"/>
                <w:lang w:val="en-US" w:eastAsia="zh-CN" w:bidi="ar-SA"/>
              </w:rPr>
              <w:t xml:space="preserve"> 采购项目的潜在供应商应在</w:t>
            </w:r>
            <w:r>
              <w:rPr>
                <w:rFonts w:hint="eastAsia" w:ascii="宋体" w:hAnsi="宋体" w:eastAsia="宋体" w:cs="Times New Roman"/>
                <w:bCs/>
                <w:color w:val="auto"/>
                <w:sz w:val="24"/>
                <w:szCs w:val="24"/>
                <w:highlight w:val="none"/>
                <w:u w:val="single"/>
                <w:vertAlign w:val="baseline"/>
                <w:lang w:val="en-US" w:eastAsia="zh-CN" w:bidi="ar-SA"/>
              </w:rPr>
              <w:t xml:space="preserve">苏采云系统</w:t>
            </w:r>
            <w:r>
              <w:rPr>
                <w:rFonts w:hint="eastAsia" w:ascii="宋体" w:hAnsi="宋体" w:eastAsia="宋体" w:cs="Times New Roman"/>
                <w:bCs/>
                <w:color w:val="auto"/>
                <w:sz w:val="24"/>
                <w:szCs w:val="24"/>
                <w:highlight w:val="none"/>
                <w:vertAlign w:val="baseline"/>
                <w:lang w:val="en-US" w:eastAsia="zh-CN" w:bidi="ar-SA"/>
              </w:rPr>
              <w:t xml:space="preserve">获取采购文件，并于</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2026年</w:t>
            </w:r>
            <w:r>
              <w:rPr>
                <w:rFonts w:hint="eastAsia" w:ascii="宋体" w:hAnsi="宋体" w:cs="Times New Roman"/>
                <w:bCs/>
                <w:color w:val="000000" w:themeColor="text1"/>
                <w:sz w:val="24"/>
                <w:szCs w:val="24"/>
                <w:highlight w:val="none"/>
                <w:u w:val="single"/>
                <w:vertAlign w:val="baseline"/>
                <w:lang w:val="en-US" w:eastAsia="zh-CN" w:bidi="ar-SA"/>
              </w:rPr>
              <w:t xml:space="preserve">1</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月</w:t>
            </w:r>
            <w:r>
              <w:rPr>
                <w:rFonts w:hint="eastAsia" w:ascii="宋体" w:hAnsi="宋体" w:cs="Times New Roman"/>
                <w:bCs/>
                <w:color w:val="000000" w:themeColor="text1"/>
                <w:sz w:val="24"/>
                <w:szCs w:val="24"/>
                <w:highlight w:val="none"/>
                <w:u w:val="single"/>
                <w:vertAlign w:val="baseline"/>
                <w:lang w:val="en-US" w:eastAsia="zh-CN" w:bidi="ar-SA"/>
              </w:rPr>
              <w:t xml:space="preserve">28</w:t>
            </w:r>
            <w:r>
              <w:rPr>
                <w:rFonts w:hint="eastAsia" w:ascii="宋体" w:hAnsi="宋体" w:eastAsia="宋体" w:cs="Times New Roman"/>
                <w:bCs/>
                <w:color w:val="000000" w:themeColor="text1"/>
                <w:sz w:val="24"/>
                <w:szCs w:val="24"/>
                <w:highlight w:val="none"/>
                <w:u w:val="single"/>
                <w:vertAlign w:val="baseline"/>
                <w:lang w:val="en-US" w:eastAsia="zh-CN" w:bidi="ar-SA"/>
              </w:rPr>
              <w:t xml:space="preserve">日13点30分</w:t>
            </w:r>
            <w:r>
              <w:rPr>
                <w:rFonts w:hint="eastAsia" w:ascii="宋体" w:hAnsi="宋体" w:eastAsia="宋体" w:cs="Times New Roman"/>
                <w:bCs/>
                <w:color w:val="000000" w:themeColor="text1"/>
                <w:sz w:val="24"/>
                <w:szCs w:val="24"/>
                <w:highlight w:val="none"/>
                <w:vertAlign w:val="baseline"/>
                <w:lang w:val="en-US" w:eastAsia="zh-CN" w:bidi="ar-SA"/>
              </w:rPr>
              <w:t xml:space="preserve">（北京</w:t>
            </w:r>
            <w:r>
              <w:rPr>
                <w:rFonts w:hint="eastAsia" w:ascii="宋体" w:hAnsi="宋体" w:eastAsia="宋体" w:cs="Times New Roman"/>
                <w:bCs/>
                <w:color w:val="auto"/>
                <w:sz w:val="24"/>
                <w:szCs w:val="24"/>
                <w:highlight w:val="none"/>
                <w:vertAlign w:val="baseline"/>
                <w:lang w:val="en-US" w:eastAsia="zh-CN" w:bidi="ar-SA"/>
              </w:rPr>
              <w:t xml:space="preserve">时间）前提交投标文件。</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一、项目基本情况</w:t>
      </w:r>
      <w:bookmarkEnd w:id="13"/>
      <w:r/>
      <w:bookmarkEnd w:id="14"/>
      <w:r/>
      <w:bookmarkEnd w:id="15"/>
      <w:r/>
      <w:bookmarkEnd w:id="16"/>
      <w:r/>
      <w:r/>
    </w:p>
    <w:p>
      <w:pPr>
        <w:ind w:firstLine="480"/>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1.项目编号：</w:t>
      </w:r>
      <w:r>
        <w:rPr>
          <w:rFonts w:hint="eastAsia" w:ascii="宋体" w:hAnsi="宋体" w:cs="宋体"/>
          <w:color w:val="auto"/>
          <w:sz w:val="24"/>
          <w:szCs w:val="20"/>
          <w:highlight w:val="none"/>
          <w:lang w:eastAsia="zh-CN"/>
        </w:rPr>
        <w:t xml:space="preserve">JSZC-320508-XDZJ-G2026-0001</w:t>
      </w:r>
      <w:r/>
    </w:p>
    <w:p>
      <w:pPr>
        <w:ind w:firstLine="480"/>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cs="宋体"/>
          <w:color w:val="auto"/>
          <w:sz w:val="24"/>
          <w:szCs w:val="20"/>
          <w:highlight w:val="none"/>
          <w:lang w:eastAsia="zh-CN"/>
        </w:rPr>
        <w:t xml:space="preserve">老旧小区视频监控设施维护（2025）</w:t>
      </w:r>
      <w:r/>
    </w:p>
    <w:p>
      <w:pPr>
        <w:ind w:firstLine="480"/>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3.招标方式：公开</w:t>
      </w:r>
      <w:r>
        <w:rPr>
          <w:rFonts w:hint="eastAsia" w:ascii="宋体" w:hAnsi="宋体" w:eastAsia="宋体" w:cs="宋体"/>
          <w:color w:val="auto"/>
          <w:sz w:val="24"/>
          <w:szCs w:val="20"/>
          <w:highlight w:val="none"/>
          <w:lang w:eastAsia="zh-CN"/>
        </w:rPr>
        <w:t xml:space="preserve">招标</w:t>
      </w:r>
      <w:r/>
    </w:p>
    <w:p>
      <w:pPr>
        <w:ind w:firstLine="480"/>
        <w:spacing w:line="36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4.预算金额：</w:t>
      </w:r>
      <w:r>
        <w:rPr>
          <w:rFonts w:hint="eastAsia" w:ascii="宋体" w:hAnsi="宋体" w:cs="宋体"/>
          <w:color w:val="auto"/>
          <w:sz w:val="24"/>
          <w:szCs w:val="20"/>
          <w:highlight w:val="none"/>
          <w:lang w:val="en-US" w:eastAsia="zh-CN"/>
        </w:rPr>
        <w:t xml:space="preserve">人民币伍佰叁拾玖万元整（小写：5390000.00元） </w:t>
      </w:r>
      <w:r/>
    </w:p>
    <w:p>
      <w:pPr>
        <w:ind w:firstLine="480"/>
        <w:spacing w:line="360" w:lineRule="auto"/>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5.最高限价：</w:t>
      </w:r>
      <w:r>
        <w:rPr>
          <w:rFonts w:hint="eastAsia" w:ascii="宋体" w:hAnsi="宋体" w:cs="宋体"/>
          <w:color w:val="auto"/>
          <w:sz w:val="24"/>
          <w:szCs w:val="20"/>
          <w:highlight w:val="none"/>
          <w:lang w:val="en-US" w:eastAsia="zh-CN"/>
        </w:rPr>
        <w:t xml:space="preserve">人民币伍佰叁拾玖万元整（小写：5390000.00元） </w:t>
      </w:r>
      <w:r/>
    </w:p>
    <w:p>
      <w:pPr>
        <w:ind w:firstLine="480"/>
        <w:spacing w:line="360" w:lineRule="auto"/>
        <w:rPr>
          <w:rFonts w:hint="eastAsia" w:ascii="宋体" w:hAnsi="宋体" w:cs="宋体"/>
          <w:sz w:val="24"/>
          <w:szCs w:val="20"/>
          <w:highlight w:val="none"/>
          <w:lang w:val="en-US" w:eastAsia="zh-CN"/>
        </w:rPr>
      </w:pPr>
      <w:r>
        <w:rPr>
          <w:rFonts w:hint="eastAsia" w:ascii="宋体" w:hAnsi="宋体" w:eastAsia="宋体" w:cs="宋体"/>
          <w:sz w:val="24"/>
          <w:szCs w:val="20"/>
          <w:highlight w:val="none"/>
          <w:lang w:val="en-US" w:eastAsia="zh-CN"/>
        </w:rPr>
        <w:t xml:space="preserve">6.合同履行期限：</w:t>
      </w:r>
      <w:r>
        <w:rPr>
          <w:rFonts w:hint="eastAsia" w:ascii="宋体" w:hAnsi="宋体" w:cs="宋体"/>
          <w:sz w:val="24"/>
          <w:szCs w:val="20"/>
          <w:highlight w:val="none"/>
          <w:lang w:val="en-US" w:eastAsia="zh-CN"/>
        </w:rPr>
        <w:t xml:space="preserve">叁年。维保时间自2026年1月30日至2029年1月29日。实际开始时间以上年维保到期并办理好移交手续为准。 </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lang w:val="en-US" w:eastAsia="zh-CN"/>
        </w:rPr>
        <w:t xml:space="preserve">7</w:t>
      </w:r>
      <w:r>
        <w:rPr>
          <w:rFonts w:hint="eastAsia" w:ascii="宋体" w:hAnsi="宋体" w:eastAsia="宋体" w:cs="宋体"/>
          <w:sz w:val="24"/>
          <w:szCs w:val="20"/>
          <w:highlight w:val="none"/>
        </w:rPr>
        <w:t xml:space="preserve">.采购需求：</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经统计，本次采购</w:t>
      </w:r>
      <w:r>
        <w:rPr>
          <w:rFonts w:hint="eastAsia" w:ascii="宋体" w:hAnsi="宋体" w:cs="宋体"/>
          <w:sz w:val="24"/>
          <w:szCs w:val="20"/>
          <w:highlight w:val="none"/>
          <w:lang w:eastAsia="zh-CN"/>
        </w:rPr>
        <w:t xml:space="preserve">老旧小区视频监控设施维护（2025）</w:t>
      </w:r>
      <w:r>
        <w:rPr>
          <w:rFonts w:hint="eastAsia" w:ascii="宋体" w:hAnsi="宋体" w:eastAsia="宋体" w:cs="宋体"/>
          <w:sz w:val="24"/>
          <w:szCs w:val="20"/>
          <w:highlight w:val="none"/>
        </w:rPr>
        <w:t xml:space="preserve">，共计涉及47小区监控数量1943路，其中：2023年已维保26个小区769路，2024年新增维保14个小区661路，2025年新增维保7个小区513路。</w:t>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0"/>
          <w:highlight w:val="none"/>
        </w:rPr>
        <w:t xml:space="preserve">预计需更换摄像机：</w:t>
      </w:r>
      <w:r>
        <w:rPr>
          <w:rFonts w:hint="eastAsia" w:ascii="宋体" w:hAnsi="宋体" w:eastAsia="宋体" w:cs="宋体"/>
          <w:color w:val="000000"/>
          <w:sz w:val="24"/>
          <w:szCs w:val="24"/>
          <w:highlight w:val="none"/>
        </w:rPr>
        <w:t xml:space="preserve">2025年采购预计更换摄像机</w:t>
      </w:r>
      <w:r>
        <w:rPr>
          <w:rFonts w:hint="eastAsia" w:ascii="宋体" w:hAnsi="宋体" w:eastAsia="宋体" w:cs="宋体"/>
          <w:color w:val="auto"/>
          <w:sz w:val="24"/>
          <w:szCs w:val="24"/>
          <w:highlight w:val="none"/>
        </w:rPr>
        <w:t xml:space="preserve">95套，具</w:t>
      </w:r>
      <w:r>
        <w:rPr>
          <w:rFonts w:hint="eastAsia" w:ascii="宋体" w:hAnsi="宋体" w:eastAsia="宋体" w:cs="宋体"/>
          <w:color w:val="000000"/>
          <w:sz w:val="24"/>
          <w:szCs w:val="24"/>
          <w:highlight w:val="none"/>
        </w:rPr>
        <w:t xml:space="preserve">体按实结算。</w:t>
      </w:r>
      <w:r/>
    </w:p>
    <w:p>
      <w:pPr>
        <w:spacing w:line="360" w:lineRule="auto"/>
        <w:rPr>
          <w:rFonts w:hint="eastAsia" w:ascii="宋体" w:hAnsi="宋体" w:eastAsia="宋体" w:cs="宋体"/>
          <w:b/>
          <w:bCs/>
          <w:color w:val="auto"/>
          <w:sz w:val="24"/>
          <w:szCs w:val="20"/>
          <w:highlight w:val="none"/>
          <w:lang w:val="zh-TW" w:eastAsia="zh-TW" w:bidi="zh-TW"/>
        </w:rPr>
      </w:pPr>
      <w:r>
        <w:rPr>
          <w:rFonts w:hint="eastAsia" w:ascii="宋体" w:hAnsi="宋体" w:eastAsia="宋体" w:cs="宋体"/>
          <w:b/>
          <w:bCs/>
          <w:color w:val="auto"/>
          <w:sz w:val="24"/>
          <w:szCs w:val="20"/>
          <w:highlight w:val="none"/>
          <w:lang w:val="zh-TW" w:bidi="zh-TW"/>
        </w:rPr>
        <w:t xml:space="preserve">二、申请人的资格要求：</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1.满足《中华人民共和国政府采购法》第二十二条规定；</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（1）具有独立承担民事责任的能力；</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（2）具有良好的商业信誉和健全的财务会计制度；</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（3）具有履行合同所必须的设备和专业技术能力；</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（4）有依法缴纳税收和社会保障资金的良好记录；</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（5）参加政府采购活动前三年内，在经营活动中没有重大违法记录；</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（6）法律、行政法规规定的其他条件。</w:t>
      </w:r>
      <w:r/>
    </w:p>
    <w:p>
      <w:pPr>
        <w:ind w:firstLine="480"/>
        <w:spacing w:line="360" w:lineRule="auto"/>
        <w:rPr>
          <w:rFonts w:hint="eastAsia" w:ascii="宋体" w:hAnsi="宋体" w:eastAsia="宋体" w:cs="宋体"/>
          <w:b w:val="0"/>
          <w:bCs w:val="0"/>
          <w:color w:val="auto"/>
          <w:sz w:val="24"/>
          <w:highlight w:val="none"/>
          <w:lang w:val="zh-TW" w:bidi="zh-TW"/>
        </w:rPr>
      </w:pPr>
      <w:r>
        <w:rPr>
          <w:rFonts w:hint="eastAsia" w:ascii="宋体" w:hAnsi="宋体" w:eastAsia="宋体" w:cs="宋体"/>
          <w:color w:val="auto"/>
          <w:sz w:val="24"/>
          <w:szCs w:val="20"/>
          <w:highlight w:val="none"/>
          <w:lang w:bidi="zh-TW"/>
        </w:rPr>
        <w:t xml:space="preserve">2、</w:t>
      </w:r>
      <w:r>
        <w:rPr>
          <w:rFonts w:hint="eastAsia" w:ascii="宋体" w:hAnsi="宋体" w:eastAsia="宋体" w:cs="宋体"/>
          <w:color w:val="auto"/>
          <w:sz w:val="24"/>
          <w:szCs w:val="20"/>
          <w:highlight w:val="none"/>
          <w:lang w:val="zh-TW" w:bidi="zh-TW"/>
        </w:rPr>
        <w:t xml:space="preserve">落实政府釆购政</w:t>
      </w:r>
      <w:r>
        <w:rPr>
          <w:rFonts w:hint="eastAsia" w:ascii="宋体" w:hAnsi="宋体" w:eastAsia="宋体" w:cs="宋体"/>
          <w:color w:val="auto"/>
          <w:sz w:val="24"/>
          <w:highlight w:val="none"/>
          <w:lang w:val="zh-TW" w:bidi="zh-TW"/>
        </w:rPr>
        <w:t xml:space="preserve">策需满足的咨格要求：</w:t>
      </w:r>
      <w:r>
        <w:rPr>
          <w:rFonts w:hint="eastAsia" w:ascii="宋体" w:hAnsi="宋体" w:cs="宋体"/>
          <w:color w:val="auto"/>
          <w:sz w:val="24"/>
          <w:highlight w:val="none"/>
          <w:lang w:val="en-US" w:eastAsia="zh-CN" w:bidi="zh-TW"/>
        </w:rPr>
        <w:t xml:space="preserve">本项目</w:t>
      </w:r>
      <w:r>
        <w:rPr>
          <w:rFonts w:hint="eastAsia" w:ascii="宋体" w:hAnsi="宋体" w:eastAsia="宋体" w:cs="宋体"/>
          <w:b w:val="0"/>
          <w:bCs w:val="0"/>
          <w:color w:val="auto"/>
          <w:sz w:val="24"/>
          <w:highlight w:val="none"/>
          <w:lang w:val="zh-TW" w:bidi="zh-TW"/>
        </w:rPr>
        <w:t xml:space="preserve">专门面向中小企业采购</w:t>
      </w:r>
      <w:r>
        <w:rPr>
          <w:rFonts w:hint="eastAsia" w:ascii="宋体" w:hAnsi="宋体" w:cs="宋体"/>
          <w:b w:val="0"/>
          <w:bCs w:val="0"/>
          <w:color w:val="auto"/>
          <w:sz w:val="24"/>
          <w:highlight w:val="none"/>
          <w:lang w:val="en-US" w:eastAsia="zh-CN" w:bidi="zh-TW"/>
        </w:rPr>
        <w:t xml:space="preserve">,所属行业为软件和信息技术服务业，</w:t>
      </w:r>
      <w:r>
        <w:rPr>
          <w:rFonts w:hint="eastAsia" w:ascii="宋体" w:hAnsi="宋体" w:eastAsia="宋体" w:cs="宋体"/>
          <w:b w:val="0"/>
          <w:bCs w:val="0"/>
          <w:color w:val="auto"/>
          <w:sz w:val="24"/>
          <w:highlight w:val="none"/>
          <w:lang w:val="zh-TW" w:bidi="zh-TW"/>
        </w:rPr>
        <w:t xml:space="preserve">供应商必须提供《中小企业声明函》或《残疾人福利性单位声明函》或由省级以上监狱管理局、戒毒管理局（含新疆生产建设兵团）出具的属于监狱企业的证明文件。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highlight w:val="none"/>
          <w:lang w:val="zh-TW" w:eastAsia="zh-TW" w:bidi="zh-TW"/>
        </w:rPr>
      </w:pPr>
      <w:r>
        <w:rPr>
          <w:rFonts w:hint="eastAsia" w:ascii="宋体" w:hAnsi="宋体" w:eastAsia="宋体" w:cs="宋体"/>
          <w:color w:val="auto"/>
          <w:sz w:val="24"/>
          <w:highlight w:val="none"/>
          <w:lang w:val="zh-TW" w:bidi="zh-TW"/>
        </w:rPr>
        <w:t xml:space="preserve">3</w:t>
      </w:r>
      <w:r>
        <w:rPr>
          <w:rFonts w:hint="eastAsia" w:ascii="宋体" w:hAnsi="宋体" w:eastAsia="宋体" w:cs="宋体"/>
          <w:color w:val="auto"/>
          <w:sz w:val="24"/>
          <w:highlight w:val="none"/>
          <w:lang w:bidi="zh-TW"/>
        </w:rPr>
        <w:t xml:space="preserve">、</w:t>
      </w:r>
      <w:r>
        <w:rPr>
          <w:rFonts w:hint="eastAsia" w:ascii="宋体" w:hAnsi="宋体" w:eastAsia="宋体" w:cs="宋体"/>
          <w:color w:val="auto"/>
          <w:sz w:val="24"/>
          <w:highlight w:val="none"/>
          <w:lang w:val="zh-TW" w:bidi="zh-TW"/>
        </w:rPr>
        <w:t xml:space="preserve">本项目的特定资格要求</w:t>
      </w:r>
      <w:r>
        <w:rPr>
          <w:rFonts w:hint="eastAsia" w:ascii="宋体" w:hAnsi="宋体" w:eastAsia="宋体" w:cs="宋体"/>
          <w:color w:val="auto"/>
          <w:sz w:val="24"/>
          <w:highlight w:val="none"/>
          <w:lang w:val="zh-TW" w:eastAsia="zh-TW" w:bidi="zh-TW"/>
        </w:rPr>
        <w:t xml:space="preserve">:</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w:t>
      </w:r>
      <w:r>
        <w:rPr>
          <w:rFonts w:hint="eastAsia" w:ascii="宋体" w:hAnsi="宋体" w:cs="宋体"/>
          <w:sz w:val="24"/>
          <w:szCs w:val="20"/>
          <w:highlight w:val="none"/>
          <w:lang w:val="en-US" w:eastAsia="zh-CN"/>
        </w:rPr>
        <w:t xml:space="preserve">1</w:t>
      </w:r>
      <w:r>
        <w:rPr>
          <w:rFonts w:hint="eastAsia" w:ascii="宋体" w:hAnsi="宋体" w:eastAsia="宋体" w:cs="宋体"/>
          <w:sz w:val="24"/>
          <w:szCs w:val="20"/>
          <w:highlight w:val="none"/>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w:t>
      </w:r>
      <w:r>
        <w:rPr>
          <w:rFonts w:hint="eastAsia" w:ascii="宋体" w:hAnsi="宋体" w:cs="宋体"/>
          <w:sz w:val="24"/>
          <w:szCs w:val="20"/>
          <w:highlight w:val="none"/>
          <w:lang w:val="en-US" w:eastAsia="zh-CN"/>
        </w:rPr>
        <w:t xml:space="preserve">2</w:t>
      </w:r>
      <w:r>
        <w:rPr>
          <w:rFonts w:hint="eastAsia" w:ascii="宋体" w:hAnsi="宋体" w:eastAsia="宋体" w:cs="宋体"/>
          <w:sz w:val="24"/>
          <w:szCs w:val="20"/>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lang w:eastAsia="zh-CN"/>
        </w:rPr>
        <w:t xml:space="preserve">（</w:t>
      </w:r>
      <w:r>
        <w:rPr>
          <w:rFonts w:hint="eastAsia" w:ascii="宋体" w:hAnsi="宋体" w:cs="宋体"/>
          <w:sz w:val="24"/>
          <w:szCs w:val="20"/>
          <w:highlight w:val="none"/>
          <w:lang w:val="en-US" w:eastAsia="zh-CN"/>
        </w:rPr>
        <w:t xml:space="preserve">3</w:t>
      </w:r>
      <w:r>
        <w:rPr>
          <w:rFonts w:hint="eastAsia" w:ascii="宋体" w:hAnsi="宋体" w:eastAsia="宋体" w:cs="宋体"/>
          <w:sz w:val="24"/>
          <w:szCs w:val="20"/>
          <w:highlight w:val="none"/>
          <w:lang w:eastAsia="zh-CN"/>
        </w:rPr>
        <w:t xml:space="preserve">）本项目不接受联合体投标。</w:t>
      </w:r>
      <w:r/>
    </w:p>
    <w:p>
      <w:pPr>
        <w:jc w:val="left"/>
        <w:spacing w:line="360" w:lineRule="auto"/>
        <w:widowControl/>
        <w:rPr>
          <w:rFonts w:ascii="宋体" w:hAnsi="宋体" w:cs="宋体"/>
          <w:b/>
          <w:bCs/>
          <w:color w:val="auto"/>
          <w:sz w:val="24"/>
          <w:highlight w:val="none"/>
        </w:rPr>
      </w:pPr>
      <w:r>
        <w:rPr>
          <w:rFonts w:hint="eastAsia"/>
          <w:color w:val="auto"/>
          <w:sz w:val="24"/>
          <w:szCs w:val="24"/>
          <w:highlight w:val="none"/>
          <w:lang w:val="en-US" w:eastAsia="zh-CN"/>
        </w:rPr>
        <w:t xml:space="preserve">    </w:t>
      </w:r>
      <w:r>
        <w:rPr>
          <w:rFonts w:hint="eastAsia" w:ascii="宋体" w:hAnsi="宋体" w:cs="宋体"/>
          <w:b/>
          <w:bCs/>
          <w:color w:val="auto"/>
          <w:sz w:val="24"/>
          <w:highlight w:val="none"/>
        </w:rPr>
        <w:t xml:space="preserve">三、获取招标文件</w:t>
      </w:r>
      <w:r/>
    </w:p>
    <w:p>
      <w:pPr>
        <w:ind w:firstLine="480"/>
        <w:spacing w:line="360" w:lineRule="auto"/>
        <w:shd w:val="clear" w:color="auto" w:fill="ffffff"/>
        <w:rPr>
          <w:rFonts w:ascii="宋体" w:hAnsi="宋体" w:cs="宋体"/>
          <w:color w:val="0000ff"/>
          <w:sz w:val="24"/>
          <w:highlight w:val="none"/>
          <w:shd w:val="clear" w:color="auto" w:fill="ffffff"/>
        </w:rPr>
      </w:pPr>
      <w:r>
        <w:rPr>
          <w:rFonts w:hint="eastAsia" w:ascii="宋体" w:hAnsi="宋体" w:cs="宋体"/>
          <w:color w:val="auto"/>
          <w:sz w:val="24"/>
          <w:highlight w:val="none"/>
          <w:shd w:val="clear" w:color="auto" w:fill="ffffff"/>
        </w:rPr>
        <w:t xml:space="preserve">时间：</w:t>
      </w:r>
      <w:r>
        <w:rPr>
          <w:rFonts w:hint="eastAsia" w:ascii="宋体" w:hAnsi="宋体" w:cs="宋体"/>
          <w:color w:val="auto"/>
          <w:sz w:val="24"/>
          <w:highlight w:val="none"/>
        </w:rPr>
        <w:t xml:space="preserve">自本公告发布之日起5个工作日</w:t>
      </w:r>
      <w:r/>
    </w:p>
    <w:p>
      <w:pPr>
        <w:ind w:firstLine="480"/>
        <w:spacing w:line="360" w:lineRule="auto"/>
        <w:shd w:val="clear" w:color="auto" w:fill="ffffff"/>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地点：“苏采云”系统自行下载采购文件</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shd w:val="clear" w:color="auto" w:fill="ffffff"/>
        </w:rPr>
        <w:t xml:space="preserve">方式：</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（1）CA证书办理</w:t>
      </w:r>
      <w:r/>
    </w:p>
    <w:p>
      <w:pPr>
        <w:ind w:left="0" w:firstLine="420"/>
        <w:jc w:val="both"/>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w:t>
      </w:r>
      <w:r>
        <w:rPr>
          <w:rFonts w:hint="default"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法规政策--《转发省财政厅关于更换全省政府采购交易系统CA数字证书和电子签章的通知》或者“苏采云”系统登录界面中的“新CA办理指南”。“苏采云”系统目前仅支持“苏采云”系统下的政务CA证书，江苏省内各5 月地区办理的“苏采云”系统下的政务CA证书全省通用。</w:t>
      </w:r>
      <w:r>
        <w:rPr>
          <w:rFonts w:hint="eastAsia" w:ascii="宋体" w:hAnsi="宋体" w:eastAsia="宋体" w:cs="宋体"/>
          <w:b/>
          <w:color w:val="auto"/>
          <w:sz w:val="24"/>
          <w:szCs w:val="24"/>
          <w:highlight w:val="none"/>
          <w:lang w:val="en-US" w:eastAsia="zh-CN" w:bidi="ar-SA"/>
        </w:rPr>
        <w:t xml:space="preserve">苏州现场办理地址：苏州高新区邓尉路105号狮山科技馆1楼服务大厅，咨询电话：0512-65737699。</w:t>
      </w:r>
      <w:r/>
    </w:p>
    <w:p>
      <w:pPr>
        <w:ind w:left="0" w:firstLine="420"/>
        <w:jc w:val="both"/>
        <w:spacing w:line="360" w:lineRule="auto"/>
        <w:rPr>
          <w:rFonts w:hint="default"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（2）参与采购活动</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（3）电子投标准备</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auto"/>
          <w:sz w:val="24"/>
          <w:szCs w:val="24"/>
          <w:highlight w:val="none"/>
          <w:lang w:val="en-US" w:eastAsia="zh-CN" w:bidi="ar-SA"/>
        </w:rPr>
        <w:t xml:space="preserve">（具体详见《苏采云系统供应商操作手册》，网址链接</w:t>
      </w:r>
      <w:r>
        <w:rPr>
          <w:rFonts w:hint="default" w:ascii="宋体" w:hAnsi="宋体" w:eastAsia="宋体" w:cs="宋体"/>
          <w:b/>
          <w:color w:val="auto"/>
          <w:sz w:val="24"/>
          <w:szCs w:val="24"/>
          <w:highlight w:val="none"/>
          <w:lang w:val="en-US" w:eastAsia="zh-CN" w:bidi="ar-SA"/>
        </w:rPr>
        <w:t xml:space="preserve">https://czju.suzhou.gov.cn/zfcg/html/content/20231220161910031.shtml</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在系统操作过程中如有疑问，请按以下方式联系：</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注册咨询：</w:t>
      </w:r>
      <w:r>
        <w:rPr>
          <w:rFonts w:hint="default" w:ascii="宋体" w:hAnsi="宋体" w:eastAsia="宋体" w:cs="宋体"/>
          <w:color w:val="auto"/>
          <w:sz w:val="24"/>
          <w:szCs w:val="24"/>
          <w:highlight w:val="none"/>
          <w:lang w:val="en-US" w:eastAsia="zh-CN" w:bidi="ar-SA"/>
        </w:rPr>
        <w:t xml:space="preserve">18261002950</w:t>
      </w:r>
      <w:r>
        <w:rPr>
          <w:rFonts w:hint="eastAsia" w:ascii="宋体" w:hAnsi="宋体" w:eastAsia="宋体" w:cs="宋体"/>
          <w:color w:val="auto"/>
          <w:sz w:val="24"/>
          <w:szCs w:val="24"/>
          <w:highlight w:val="none"/>
          <w:lang w:val="en-US" w:eastAsia="zh-CN" w:bidi="ar-SA"/>
        </w:rPr>
        <w:t xml:space="preserve">；</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CA技术咨询电话：</w:t>
      </w:r>
      <w:r>
        <w:rPr>
          <w:rFonts w:hint="default" w:ascii="宋体" w:hAnsi="宋体" w:eastAsia="宋体" w:cs="宋体"/>
          <w:color w:val="auto"/>
          <w:sz w:val="24"/>
          <w:szCs w:val="24"/>
          <w:highlight w:val="none"/>
          <w:lang w:val="en-US" w:eastAsia="zh-CN" w:bidi="ar-SA"/>
        </w:rPr>
        <w:t xml:space="preserve">400-608-6099</w:t>
      </w:r>
      <w:r>
        <w:rPr>
          <w:rFonts w:hint="eastAsia" w:ascii="宋体" w:hAnsi="宋体" w:eastAsia="宋体" w:cs="宋体"/>
          <w:color w:val="auto"/>
          <w:sz w:val="24"/>
          <w:szCs w:val="24"/>
          <w:highlight w:val="none"/>
          <w:lang w:val="en-US" w:eastAsia="zh-CN" w:bidi="ar-SA"/>
        </w:rPr>
        <w:t xml:space="preserve">；</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签章使用问题：025-83633811、025-83633812、15380932027、15371015030；</w:t>
      </w:r>
      <w:r/>
    </w:p>
    <w:p>
      <w:pPr>
        <w:ind w:left="0" w:firstLine="420"/>
        <w:jc w:val="both"/>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系统使用指导与咨询：联系电话：18261002950；QQ：3048755361、1315179389、895706745。</w:t>
      </w:r>
      <w:r/>
    </w:p>
    <w:p>
      <w:pPr>
        <w:ind w:firstLine="480"/>
        <w:jc w:val="both"/>
        <w:spacing w:line="360" w:lineRule="auto"/>
        <w:rPr>
          <w:color w:val="auto"/>
          <w:highlight w:val="none"/>
        </w:rPr>
      </w:pPr>
      <w:r>
        <w:rPr>
          <w:rFonts w:hint="eastAsia" w:ascii="宋体" w:hAnsi="宋体" w:eastAsia="宋体" w:cs="宋体"/>
          <w:color w:val="auto"/>
          <w:sz w:val="24"/>
          <w:szCs w:val="24"/>
          <w:highlight w:val="none"/>
          <w:lang w:val="en-US" w:eastAsia="zh-CN" w:bidi="ar-SA"/>
        </w:rPr>
        <w:t xml:space="preserve">（4）售价：0元</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jc w:val="left"/>
        <w:spacing w:line="360" w:lineRule="auto"/>
        <w:widowControl/>
        <w:rPr>
          <w:rFonts w:hint="eastAsia" w:ascii="宋体" w:hAnsi="宋体" w:cs="宋体"/>
          <w:color w:val="auto"/>
          <w:sz w:val="24"/>
          <w:highlight w:val="none"/>
          <w:u w:val="none"/>
          <w:shd w:val="clear" w:color="auto" w:fill="ffffff"/>
          <w:lang w:val="en-US" w:eastAsia="zh-CN"/>
        </w:rPr>
      </w:pPr>
      <w:r>
        <w:rPr>
          <w:rFonts w:hint="eastAsia" w:ascii="宋体" w:hAnsi="宋体" w:cs="宋体"/>
          <w:color w:val="auto"/>
          <w:sz w:val="24"/>
          <w:highlight w:val="none"/>
          <w:u w:val="none"/>
          <w:shd w:val="clear" w:color="auto" w:fill="ffffff"/>
          <w:lang w:val="en-US" w:eastAsia="zh-CN"/>
        </w:rPr>
        <w:t xml:space="preserve">1.提交投标文件截止时间：</w:t>
      </w:r>
      <w:r>
        <w:rPr>
          <w:rFonts w:hint="eastAsia" w:ascii="宋体" w:hAnsi="宋体" w:cs="宋体"/>
          <w:color w:val="auto"/>
          <w:sz w:val="24"/>
          <w:highlight w:val="none"/>
          <w:u w:val="single"/>
          <w:shd w:val="clear" w:color="auto" w:fill="ffffff"/>
          <w:lang w:val="en-US" w:eastAsia="zh-CN"/>
        </w:rPr>
        <w:t xml:space="preserve">2026年1月28日 13点30分</w:t>
      </w:r>
      <w:r>
        <w:rPr>
          <w:rFonts w:hint="eastAsia" w:ascii="宋体" w:hAnsi="宋体" w:cs="宋体"/>
          <w:color w:val="auto"/>
          <w:sz w:val="24"/>
          <w:highlight w:val="none"/>
          <w:u w:val="none"/>
          <w:shd w:val="clear" w:color="auto" w:fill="ffffff"/>
          <w:lang w:val="en-US" w:eastAsia="zh-CN"/>
        </w:rPr>
        <w:t xml:space="preserve">（北京时间）； </w:t>
      </w:r>
      <w:r/>
    </w:p>
    <w:p>
      <w:pPr>
        <w:ind w:firstLine="480"/>
        <w:jc w:val="left"/>
        <w:spacing w:line="360" w:lineRule="auto"/>
        <w:widowControl/>
        <w:rPr>
          <w:rFonts w:hint="eastAsia" w:ascii="宋体" w:hAnsi="宋体" w:cs="宋体"/>
          <w:color w:val="auto"/>
          <w:sz w:val="24"/>
          <w:highlight w:val="none"/>
          <w:u w:val="none"/>
          <w:shd w:val="clear" w:color="auto" w:fill="ffffff"/>
          <w:lang w:val="en-US" w:eastAsia="zh-CN"/>
        </w:rPr>
      </w:pPr>
      <w:r>
        <w:rPr>
          <w:rFonts w:hint="eastAsia" w:ascii="宋体" w:hAnsi="宋体" w:cs="宋体"/>
          <w:color w:val="auto"/>
          <w:sz w:val="24"/>
          <w:highlight w:val="none"/>
          <w:u w:val="none"/>
          <w:shd w:val="clear" w:color="auto" w:fill="ffffff"/>
          <w:lang w:val="en-US" w:eastAsia="zh-CN"/>
        </w:rPr>
        <w:t xml:space="preserve">2.开标时间：</w:t>
      </w:r>
      <w:r>
        <w:rPr>
          <w:rFonts w:hint="eastAsia" w:ascii="宋体" w:hAnsi="宋体" w:cs="宋体"/>
          <w:color w:val="auto"/>
          <w:sz w:val="24"/>
          <w:highlight w:val="none"/>
          <w:u w:val="single"/>
          <w:shd w:val="clear" w:color="auto" w:fill="ffffff"/>
          <w:lang w:val="en-US" w:eastAsia="zh-CN"/>
        </w:rPr>
        <w:t xml:space="preserve">2025年1月28日 13点30分</w:t>
      </w:r>
      <w:r>
        <w:rPr>
          <w:rFonts w:hint="eastAsia" w:ascii="宋体" w:hAnsi="宋体" w:cs="宋体"/>
          <w:color w:val="auto"/>
          <w:sz w:val="24"/>
          <w:highlight w:val="none"/>
          <w:u w:val="none"/>
          <w:shd w:val="clear" w:color="auto" w:fill="ffffff"/>
          <w:lang w:val="en-US" w:eastAsia="zh-CN"/>
        </w:rPr>
        <w:t xml:space="preserve">（北京时间）；</w:t>
      </w:r>
      <w:r/>
    </w:p>
    <w:p>
      <w:pPr>
        <w:ind w:firstLine="480"/>
        <w:jc w:val="left"/>
        <w:spacing w:line="360" w:lineRule="auto"/>
        <w:widowControl/>
        <w:rPr>
          <w:rFonts w:hint="default" w:ascii="宋体" w:hAnsi="宋体" w:cs="宋体"/>
          <w:color w:val="auto"/>
          <w:sz w:val="24"/>
          <w:highlight w:val="none"/>
          <w:u w:val="none"/>
          <w:shd w:val="clear" w:color="auto" w:fill="ffffff"/>
          <w:lang w:val="en-US" w:eastAsia="zh-CN"/>
        </w:rPr>
      </w:pPr>
      <w:r>
        <w:rPr>
          <w:rFonts w:hint="default" w:ascii="宋体" w:hAnsi="宋体" w:cs="宋体"/>
          <w:color w:val="auto"/>
          <w:sz w:val="24"/>
          <w:highlight w:val="none"/>
          <w:u w:val="none"/>
          <w:shd w:val="clear" w:color="auto" w:fill="ffffff"/>
          <w:lang w:val="en-US" w:eastAsia="zh-CN"/>
        </w:rPr>
        <w:t xml:space="preserve">3.</w:t>
      </w:r>
      <w:r>
        <w:rPr>
          <w:rFonts w:hint="eastAsia" w:ascii="宋体" w:hAnsi="宋体" w:cs="宋体"/>
          <w:color w:val="auto"/>
          <w:sz w:val="24"/>
          <w:highlight w:val="none"/>
          <w:u w:val="none"/>
          <w:shd w:val="clear" w:color="auto" w:fill="ffffff"/>
          <w:lang w:val="en-US" w:eastAsia="zh-CN"/>
        </w:rPr>
        <w:t xml:space="preserve">开标地点：“苏采云”系统（网址：</w:t>
      </w:r>
      <w:r>
        <w:rPr>
          <w:rFonts w:hint="default" w:ascii="宋体" w:hAnsi="宋体" w:cs="宋体"/>
          <w:color w:val="auto"/>
          <w:sz w:val="24"/>
          <w:highlight w:val="none"/>
          <w:u w:val="none"/>
          <w:shd w:val="clear" w:color="auto" w:fill="ffffff"/>
          <w:lang w:val="en-US" w:eastAsia="zh-CN"/>
        </w:rPr>
        <w:t xml:space="preserve">http://jszfcg.jsczt.cn/</w:t>
      </w:r>
      <w:r>
        <w:rPr>
          <w:rFonts w:hint="eastAsia" w:ascii="宋体" w:hAnsi="宋体" w:cs="宋体"/>
          <w:color w:val="auto"/>
          <w:sz w:val="24"/>
          <w:highlight w:val="none"/>
          <w:u w:val="none"/>
          <w:shd w:val="clear" w:color="auto" w:fill="ffffff"/>
          <w:lang w:val="en-US" w:eastAsia="zh-CN"/>
        </w:rPr>
        <w:t xml:space="preserve">）</w:t>
      </w:r>
      <w:r/>
    </w:p>
    <w:p>
      <w:pPr>
        <w:ind w:firstLine="480"/>
        <w:jc w:val="left"/>
        <w:spacing w:line="360" w:lineRule="auto"/>
        <w:widowControl/>
        <w:rPr>
          <w:rFonts w:hint="default" w:ascii="宋体" w:hAnsi="宋体" w:cs="宋体"/>
          <w:b/>
          <w:bCs/>
          <w:color w:val="auto"/>
          <w:sz w:val="24"/>
          <w:szCs w:val="24"/>
          <w:highlight w:val="none"/>
          <w:u w:val="none"/>
          <w:shd w:val="clear" w:color="auto" w:fill="ffffff"/>
          <w:lang w:val="en-US" w:eastAsia="zh-CN"/>
        </w:rPr>
      </w:pPr>
      <w:r>
        <w:rPr>
          <w:rFonts w:hint="default" w:ascii="宋体" w:hAnsi="宋体" w:cs="宋体"/>
          <w:color w:val="auto"/>
          <w:sz w:val="24"/>
          <w:highlight w:val="none"/>
          <w:u w:val="none"/>
          <w:shd w:val="clear" w:color="auto" w:fill="ffffff"/>
          <w:lang w:val="en-US" w:eastAsia="zh-CN"/>
        </w:rPr>
        <w:t xml:space="preserve">4.</w:t>
      </w:r>
      <w:r>
        <w:rPr>
          <w:rFonts w:hint="eastAsia" w:ascii="宋体" w:hAnsi="宋体" w:cs="宋体"/>
          <w:color w:val="auto"/>
          <w:sz w:val="24"/>
          <w:highlight w:val="none"/>
          <w:u w:val="none"/>
          <w:shd w:val="clear" w:color="auto" w:fill="ffffff"/>
          <w:lang w:val="en-US" w:eastAsia="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bCs/>
          <w:color w:val="auto"/>
          <w:sz w:val="24"/>
          <w:szCs w:val="24"/>
          <w:highlight w:val="none"/>
          <w:u w:val="none"/>
          <w:shd w:val="clear" w:color="auto" w:fill="ffffff"/>
          <w:lang w:val="en-US" w:eastAsia="zh-CN"/>
        </w:rPr>
        <w:t xml:space="preserve">供应商应充分考虑到网络环境、网络带宽等风险因素，如因供应商自身原因造成的电子投标文件上传不成功由供应商自行承担全部责任。</w:t>
      </w:r>
      <w:r/>
    </w:p>
    <w:p>
      <w:pPr>
        <w:ind w:firstLine="480"/>
        <w:jc w:val="left"/>
        <w:spacing w:line="360" w:lineRule="auto"/>
        <w:widowControl/>
        <w:rPr>
          <w:rFonts w:hint="default" w:ascii="宋体" w:hAnsi="宋体" w:cs="宋体"/>
          <w:b/>
          <w:bCs/>
          <w:color w:val="auto"/>
          <w:sz w:val="24"/>
          <w:szCs w:val="24"/>
          <w:highlight w:val="none"/>
          <w:u w:val="none"/>
          <w:shd w:val="clear" w:color="auto" w:fill="ffffff"/>
          <w:lang w:val="en-US" w:eastAsia="zh-CN"/>
        </w:rPr>
      </w:pPr>
      <w:r>
        <w:rPr>
          <w:rFonts w:hint="eastAsia" w:ascii="宋体" w:hAnsi="宋体" w:cs="宋体"/>
          <w:color w:val="auto"/>
          <w:sz w:val="24"/>
          <w:highlight w:val="none"/>
          <w:u w:val="none"/>
          <w:shd w:val="clear" w:color="auto" w:fill="ffffff"/>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auto"/>
          <w:sz w:val="24"/>
          <w:szCs w:val="24"/>
          <w:highlight w:val="none"/>
          <w:u w:val="none"/>
          <w:shd w:val="clear" w:color="auto" w:fill="ffffff"/>
          <w:lang w:val="en-US" w:eastAsia="zh-CN"/>
        </w:rPr>
        <w:t xml:space="preserve">本项目为不见面开标项目，开标阶段供应商在【供应商解密】环节必须使用 CA证书解密电子投标文件，如在系统规定的解密时间内未能完成解密的视为放弃投标。</w:t>
      </w:r>
      <w:r/>
    </w:p>
    <w:p>
      <w:pPr>
        <w:ind w:firstLine="482"/>
        <w:jc w:val="left"/>
        <w:spacing w:line="360" w:lineRule="auto"/>
        <w:widowControl/>
        <w:rPr>
          <w:color w:val="auto"/>
          <w:sz w:val="24"/>
          <w:szCs w:val="24"/>
          <w:highlight w:val="none"/>
        </w:rPr>
      </w:pPr>
      <w:r>
        <w:rPr>
          <w:rFonts w:hint="eastAsia" w:ascii="宋体" w:hAnsi="宋体" w:cs="宋体"/>
          <w:b/>
          <w:bCs/>
          <w:color w:val="auto"/>
          <w:sz w:val="24"/>
          <w:szCs w:val="24"/>
          <w:highlight w:val="none"/>
          <w:u w:val="none"/>
          <w:shd w:val="clear" w:color="auto" w:fill="ffffff"/>
          <w:lang w:val="en-US" w:eastAsia="zh-CN"/>
        </w:rPr>
        <w:t xml:space="preserve">请供应商确保电脑、系统及其他设备（视频输入输出设备等）无误，且开标直至项目结束始终保持系统在线状态。</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 </w:t>
      </w:r>
      <w:r>
        <w:rPr>
          <w:rFonts w:hint="eastAsia" w:ascii="宋体" w:hAnsi="宋体" w:cs="宋体"/>
          <w:color w:val="auto"/>
          <w:sz w:val="24"/>
          <w:highlight w:val="none"/>
        </w:rPr>
        <w:t xml:space="preserve">苏州市姑苏区政府采购管理监督电话：0512-68728409。</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本公告有关信息将同时在苏州市政府采购网、江苏省政府采购网上发布，敬请留意,请各单位获取本次招标采购文件后，认真阅读各项内容，进行必要准备工作，按文件的要求详细填写和编制投标文件，并按以上确定的时间、地点准时参加投标。</w:t>
      </w:r>
      <w:r/>
    </w:p>
    <w:p>
      <w:pPr>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七、对本次招标提出询问，请按以下方式联系。</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left="479" w:firstLine="0"/>
        <w:jc w:val="left"/>
        <w:spacing w:line="360" w:lineRule="auto"/>
        <w:widowControl/>
        <w:rPr>
          <w:rFonts w:hint="eastAsia" w:ascii="宋体" w:hAnsi="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苏州市姑苏区住房和建设委员会</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highlight w:val="none"/>
        </w:rPr>
        <w:t xml:space="preserve">地址：平川路510号</w:t>
      </w:r>
      <w:r>
        <w:rPr>
          <w:rFonts w:hint="eastAsia" w:ascii="宋体" w:hAnsi="宋体" w:cs="宋体"/>
          <w:color w:val="auto"/>
          <w:sz w:val="24"/>
          <w:highlight w:val="none"/>
        </w:rP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联系人</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华</w:t>
      </w:r>
      <w:r>
        <w:rPr>
          <w:rFonts w:hint="eastAsia" w:ascii="宋体" w:hAnsi="宋体" w:cs="宋体"/>
          <w:color w:val="auto"/>
          <w:sz w:val="24"/>
          <w:highlight w:val="none"/>
        </w:rPr>
        <w:t xml:space="preserve">慧</w:t>
      </w:r>
      <w:r>
        <w:rPr>
          <w:rFonts w:hint="eastAsia" w:ascii="宋体" w:hAnsi="宋体" w:cs="宋体"/>
          <w:color w:val="auto"/>
          <w:sz w:val="24"/>
          <w:highlight w:val="none"/>
        </w:rPr>
        <w:t xml:space="preserve">娟</w:t>
      </w: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联系方式：0512-68723617 </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苏州信德咨询有限公司</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 址：苏州市十梓街327号413室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联系方式：0512-65260263</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项目联系人:王佳</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左宇轩</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电话：0512-65260263</w:t>
      </w:r>
      <w:r/>
    </w:p>
    <w:p>
      <w:pPr>
        <w:pStyle w:val="699"/>
        <w:numPr>
          <w:ilvl w:val="0"/>
          <w:numId w:val="0"/>
        </w:numPr>
        <w:ind w:firstLine="720"/>
        <w:rPr>
          <w:rFonts w:hint="default"/>
          <w:color w:val="auto"/>
          <w:sz w:val="24"/>
          <w:szCs w:val="24"/>
          <w:highlight w:val="none"/>
          <w:lang w:val="en-US" w:eastAsia="zh-CN"/>
        </w:rPr>
      </w:pPr>
      <w:r>
        <w:rPr>
          <w:rFonts w:hint="default"/>
          <w:color w:val="auto"/>
          <w:sz w:val="24"/>
          <w:szCs w:val="24"/>
          <w:highlight w:val="none"/>
          <w:lang w:val="en-US" w:eastAsia="zh-CN"/>
        </w:rPr>
      </w:r>
      <w:r/>
    </w:p>
    <w:p>
      <w:pPr>
        <w:pStyle w:val="700"/>
        <w:rPr>
          <w:rFonts w:eastAsia="宋体" w:cs="Times New Roman"/>
          <w:color w:val="auto"/>
          <w:highlight w:val="none"/>
        </w:rPr>
      </w:pPr>
      <w:r>
        <w:rPr>
          <w:rFonts w:eastAsia="宋体" w:cs="Times New Roman"/>
          <w:color w:val="auto"/>
          <w:highlight w:val="none"/>
        </w:rPr>
      </w:r>
      <w:r/>
    </w:p>
    <w:p>
      <w:pPr>
        <w:pStyle w:val="700"/>
        <w:rPr>
          <w:rFonts w:hint="eastAsia" w:eastAsia="宋体" w:cs="Times New Roman"/>
          <w:color w:val="auto"/>
          <w:highlight w:val="none"/>
        </w:rPr>
      </w:pPr>
      <w:r>
        <w:rPr>
          <w:rFonts w:hint="eastAsia" w:eastAsia="宋体" w:cs="Times New Roman"/>
          <w:color w:val="auto"/>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pStyle w:val="700"/>
        <w:ind w:left="0" w:firstLine="0"/>
        <w:rPr>
          <w:rFonts w:ascii="宋体" w:hAnsi="宋体" w:eastAsia="宋体" w:cs="Times New Roman"/>
          <w:b/>
          <w:color w:val="auto"/>
          <w:sz w:val="52"/>
          <w:highlight w:val="none"/>
        </w:rPr>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第二章 投标人须知</w:t>
      </w:r>
      <w:bookmarkEnd w:id="2"/>
      <w:r/>
      <w:bookmarkEnd w:id="3"/>
      <w:r/>
      <w:r/>
    </w:p>
    <w:p>
      <w:pPr>
        <w:jc w:val="left"/>
        <w:spacing w:line="360" w:lineRule="auto"/>
        <w:widowControl/>
        <w:rPr>
          <w:rFonts w:ascii="宋体" w:hAnsi="宋体" w:eastAsia="宋体" w:cs="宋体"/>
          <w:b/>
          <w:color w:val="auto"/>
          <w:sz w:val="24"/>
          <w:highlight w:val="none"/>
        </w:rPr>
      </w:pPr>
      <w:r>
        <w:rPr>
          <w:rFonts w:ascii="宋体" w:hAnsi="宋体" w:eastAsia="宋体" w:cs="Times New Roman"/>
          <w:color w:val="auto"/>
          <w:sz w:val="24"/>
          <w:szCs w:val="20"/>
          <w:highlight w:val="none"/>
        </w:rPr>
        <w:br w:type="page" w:clear="all"/>
      </w:r>
      <w:r>
        <w:rPr>
          <w:rFonts w:hint="eastAsia" w:ascii="宋体" w:hAnsi="宋体" w:eastAsia="宋体" w:cs="宋体"/>
          <w:b/>
          <w:color w:val="auto"/>
          <w:sz w:val="24"/>
          <w:highlight w:val="none"/>
        </w:rPr>
        <w:t xml:space="preserve">一、说明和释义</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1.说明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1.1本招标文件仅适用于</w:t>
      </w:r>
      <w:r>
        <w:rPr>
          <w:rFonts w:hint="eastAsia" w:ascii="宋体" w:hAnsi="宋体" w:cs="宋体"/>
          <w:color w:val="auto"/>
          <w:sz w:val="24"/>
          <w:highlight w:val="none"/>
          <w:lang w:eastAsia="zh-CN"/>
        </w:rPr>
        <w:t xml:space="preserve">苏州信德咨询有限公司</w:t>
      </w:r>
      <w:r>
        <w:rPr>
          <w:rFonts w:hint="eastAsia" w:ascii="宋体" w:hAnsi="宋体" w:eastAsia="宋体" w:cs="宋体"/>
          <w:color w:val="auto"/>
          <w:sz w:val="24"/>
          <w:highlight w:val="none"/>
        </w:rPr>
        <w:t xml:space="preserve">组织的招标活动。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1.2本次招标活动及因本次招标产生的合同受中国法律制约和保护。</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1.3本招标文件的解释权属于</w:t>
      </w:r>
      <w:r>
        <w:rPr>
          <w:rFonts w:hint="eastAsia" w:ascii="宋体" w:hAnsi="宋体" w:cs="宋体"/>
          <w:color w:val="auto"/>
          <w:sz w:val="24"/>
          <w:highlight w:val="none"/>
          <w:lang w:eastAsia="zh-CN"/>
        </w:rPr>
        <w:t xml:space="preserve">苏州信德咨询有限公司</w:t>
      </w:r>
      <w:r>
        <w:rPr>
          <w:rFonts w:hint="eastAsia" w:ascii="宋体" w:hAnsi="宋体" w:eastAsia="宋体" w:cs="宋体"/>
          <w:color w:val="auto"/>
          <w:sz w:val="24"/>
          <w:highlight w:val="none"/>
        </w:rPr>
        <w:t xml:space="preserve">。</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2.词语释义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2.1采购人：指依法进行政府采购的国家机关、事业单位、团体组织。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 供应商：指向采购人提供货物、工程或服务的法人、其他组织或者自然人。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2.3投标人：指参加政府采购货物服务投标活动的供应商。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2.5招标采购单位：采购人及采购代理机构的统称。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2.6评标委员会： 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2.7响应：投标人根据采购人或采购代理机构发售的招标文件，编制投标文件并按规定投标的行为。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2.8知识产权：指专利权、商标权、著作权等无形财产专有权的统称。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2.9天：日历日。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2.10服务地点：合同中明确约定的乙方履行服务的最终地点。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2.11不可抗力：不能预见、不能避免并且不能克服的客观情况。</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 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2.13书面形式：指书面文字、合同书、信件和传真等可以有形地表现所载内容的形式。</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二、投标人</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3.合格投标人的一般条件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（1）具有独立承担民事责任的能力；</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（2）具有良好的商业信誉和健全的财务会计制度；</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（3）具有履行合同所必须的设备和专业技术能力；</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（4）有依法缴纳税收和社会保障资金的良好记录；</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（5）参加政府采购活动前三年内，在经营活动中没有重大违法记录；</w:t>
      </w:r>
      <w:r/>
    </w:p>
    <w:p>
      <w:pPr>
        <w:ind w:firstLine="480"/>
        <w:spacing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b/>
          <w:bCs/>
          <w:color w:val="auto"/>
          <w:sz w:val="24"/>
          <w:highlight w:val="none"/>
        </w:rPr>
        <w:t xml:space="preserve">本项目专门面向中小企业</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4.合格投标人的特殊条件</w:t>
      </w:r>
      <w:r/>
    </w:p>
    <w:p>
      <w:pPr>
        <w:ind w:firstLine="480"/>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eastAsia="zh-CN"/>
        </w:rPr>
        <w:t xml:space="preserve">（</w:t>
      </w:r>
      <w:r>
        <w:rPr>
          <w:rFonts w:hint="eastAsia" w:ascii="宋体" w:hAnsi="宋体" w:cs="宋体"/>
          <w:sz w:val="24"/>
          <w:szCs w:val="20"/>
          <w:highlight w:val="none"/>
          <w:lang w:val="en-US" w:eastAsia="zh-CN"/>
        </w:rPr>
        <w:t xml:space="preserve">1</w:t>
      </w:r>
      <w:r>
        <w:rPr>
          <w:rFonts w:hint="eastAsia" w:ascii="宋体" w:hAnsi="宋体" w:eastAsia="宋体" w:cs="宋体"/>
          <w:sz w:val="24"/>
          <w:szCs w:val="20"/>
          <w:highlight w:val="none"/>
          <w:lang w:eastAsia="zh-CN"/>
        </w:rPr>
        <w:t xml:space="preserve">）未被“信用中国”网站（WWW.creditchina.gov.cn）或“中国政府采购网”网站（www.ccgp.gov.cn）列入失信被执行人、重大税收违法案件当事人名单、政府采购严重失信行为记录名单；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lang w:eastAsia="zh-CN"/>
        </w:rPr>
        <w:t xml:space="preserve">（</w:t>
      </w:r>
      <w:r>
        <w:rPr>
          <w:rFonts w:hint="eastAsia" w:ascii="宋体" w:hAnsi="宋体" w:cs="宋体"/>
          <w:sz w:val="24"/>
          <w:szCs w:val="20"/>
          <w:highlight w:val="none"/>
          <w:lang w:val="en-US" w:eastAsia="zh-CN"/>
        </w:rPr>
        <w:t xml:space="preserve">2</w:t>
      </w:r>
      <w:r>
        <w:rPr>
          <w:rFonts w:hint="eastAsia" w:ascii="宋体" w:hAnsi="宋体" w:eastAsia="宋体" w:cs="宋体"/>
          <w:sz w:val="24"/>
          <w:szCs w:val="20"/>
          <w:highlight w:val="none"/>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sz w:val="24"/>
          <w:szCs w:val="20"/>
          <w:highlight w:val="none"/>
          <w:lang w:val="en-US" w:eastAsia="zh-CN"/>
        </w:rPr>
      </w:pPr>
      <w:r>
        <w:rPr>
          <w:rFonts w:hint="eastAsia" w:ascii="宋体" w:hAnsi="宋体" w:eastAsia="宋体" w:cs="宋体"/>
          <w:sz w:val="24"/>
          <w:szCs w:val="20"/>
          <w:highlight w:val="none"/>
          <w:lang w:eastAsia="zh-CN"/>
        </w:rPr>
        <w:t xml:space="preserve">（</w:t>
      </w:r>
      <w:r>
        <w:rPr>
          <w:rFonts w:hint="eastAsia" w:ascii="宋体" w:hAnsi="宋体" w:cs="宋体"/>
          <w:sz w:val="24"/>
          <w:szCs w:val="20"/>
          <w:highlight w:val="none"/>
          <w:lang w:val="en-US" w:eastAsia="zh-CN"/>
        </w:rPr>
        <w:t xml:space="preserve">3</w:t>
      </w:r>
      <w:r>
        <w:rPr>
          <w:rFonts w:hint="eastAsia" w:ascii="宋体" w:hAnsi="宋体" w:eastAsia="宋体" w:cs="宋体"/>
          <w:sz w:val="24"/>
          <w:szCs w:val="20"/>
          <w:highlight w:val="none"/>
          <w:lang w:eastAsia="zh-CN"/>
        </w:rPr>
        <w:t xml:space="preserve">）本项目不接受联合体投标。</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5. 投标人代表</w:t>
      </w:r>
      <w:r/>
    </w:p>
    <w:p>
      <w:pPr>
        <w:ind w:firstLine="484"/>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5.1指全权代表投标人参加投标活动并签署投标文件的人，如果投标人代表不是法人代表，须持有《法人代表授权委托书》（详见统一格式）。</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6. 联合投标</w:t>
      </w:r>
      <w:r/>
    </w:p>
    <w:p>
      <w:pPr>
        <w:ind w:firstLine="484"/>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本项目不接受联合体投标。</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7. 投标费用</w:t>
      </w:r>
      <w:r/>
    </w:p>
    <w:p>
      <w:pPr>
        <w:ind w:firstLine="502"/>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7.1投标人应自行承担所有准备及参加投标的相关费用。不论投标结果如何，采购人和采购代理机构在任何情况下均无义务也无责任承担这些费用。</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三、招标文件说明</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8. 招标文件</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8.2招标文件及其补充通知（包括更正公告）不是直接从苏州政府采购网上获得的，采购人或采购代理机构对招标文件及其补遗的真实性、完整性不承担任何责任。</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9.现场勘察</w:t>
      </w:r>
      <w:r/>
    </w:p>
    <w:p>
      <w:pPr>
        <w:ind w:firstLine="502"/>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50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9.2招标人向投标人提供的有关项目现场的资料和数据，是招标人现有的能使投标人利用的资料。招标人对投标人由此而做出的推论、理解和结论概不负责。</w:t>
      </w:r>
      <w:r/>
    </w:p>
    <w:p>
      <w:pPr>
        <w:ind w:firstLine="50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9.3经招标采购单位允许，投标人可为勘察目的进入招标采购单位的项目现场，但投标人不得因此使招标采购单位承担有关的责任和蒙受损失。投标人应承担勘察现场的责任和风险。</w:t>
      </w:r>
      <w:r/>
    </w:p>
    <w:p>
      <w:pPr>
        <w:ind w:firstLine="50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10. 招标文件的澄清和修改</w:t>
      </w:r>
      <w:r/>
    </w:p>
    <w:p>
      <w:pPr>
        <w:ind w:firstLine="480"/>
        <w:jc w:val="left"/>
        <w:spacing w:line="360" w:lineRule="auto"/>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10.1 投标人在获取招标文件后，若对采购文件有疑问，应于前附表规定的方式和时间向招标采购单位提出，招标采购单位将按前附表规定的方式予以解答，但不说明来源。未按前附表规定方式和时间提交的疑问，采购人和采购代理机构有权拒绝回答，也不承担由此带来的对投标人投标结果的影响。 </w:t>
      </w:r>
      <w:r/>
    </w:p>
    <w:p>
      <w:pPr>
        <w:ind w:firstLine="480"/>
        <w:jc w:val="left"/>
        <w:spacing w:line="360" w:lineRule="auto"/>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10.2招标采购单位无论出于自己的考虑，还是出于对投标人提问的澄清，均可对招标文件用更正公告的方式进行澄清或者修改，并通过苏州市政府采购网对外进行发布。</w:t>
      </w:r>
      <w:r/>
    </w:p>
    <w:p>
      <w:pPr>
        <w:jc w:val="left"/>
        <w:spacing w:line="360" w:lineRule="auto"/>
        <w:widowControl/>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10.3对于补充通知（包括更正公告），报名成功的供应商通过“苏州市政府采购网”的“采购公告”自行查看所报项目的补充通知（包括更正公告）。补充通知（包括更正公告）将作为招标文件的组成部分，对所有投标人有约束力。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10.4对被质疑文件进行必要的澄清或者修改的，以“苏州市政府采购网”上公告方式通知，与质疑事项有关的供应商可通过“苏州市政府采购网”——“采购公告”栏自行查看、下载相关采购项目的补充通知。</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10.5为使投标人有足够的时间按招标文件的修改要求考虑修正投标文件，或出于其他原因，招标采购单位有权推迟投标截止日期和开标日期，并将此变更通知以更正公告的形式</w:t>
      </w:r>
      <w:r>
        <w:rPr>
          <w:rFonts w:hint="eastAsia" w:ascii="宋体" w:hAnsi="宋体" w:eastAsia="宋体" w:cs="宋体"/>
          <w:color w:val="auto"/>
          <w:sz w:val="24"/>
          <w:highlight w:val="none"/>
        </w:rPr>
        <w:t xml:space="preserve">在苏州市政府采购网上</w:t>
      </w:r>
      <w:r>
        <w:rPr>
          <w:rFonts w:hint="eastAsia" w:ascii="宋体" w:hAnsi="宋体" w:eastAsia="宋体" w:cs="宋体"/>
          <w:bCs/>
          <w:color w:val="auto"/>
          <w:sz w:val="24"/>
          <w:highlight w:val="none"/>
        </w:rPr>
        <w:t xml:space="preserve">对外发布。</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10.6招标文件的澄清、修改、补充等内容均以苏州</w:t>
      </w:r>
      <w:r>
        <w:rPr>
          <w:rFonts w:hint="eastAsia" w:ascii="宋体" w:hAnsi="宋体" w:eastAsia="宋体" w:cs="宋体"/>
          <w:color w:val="auto"/>
          <w:sz w:val="24"/>
          <w:highlight w:val="none"/>
        </w:rPr>
        <w:t xml:space="preserve">市</w:t>
      </w:r>
      <w:r>
        <w:rPr>
          <w:rFonts w:hint="eastAsia" w:ascii="宋体" w:hAnsi="宋体" w:eastAsia="宋体" w:cs="宋体"/>
          <w:bCs/>
          <w:color w:val="auto"/>
          <w:sz w:val="24"/>
          <w:highlight w:val="none"/>
        </w:rPr>
        <w:t xml:space="preserve">政府采购网上发布的内容为准。</w:t>
      </w:r>
      <w:r/>
    </w:p>
    <w:p>
      <w:pPr>
        <w:numPr>
          <w:ilvl w:val="0"/>
          <w:numId w:val="0"/>
        </w:num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szCs w:val="24"/>
          <w:highlight w:val="none"/>
          <w:lang w:val="en-US" w:eastAsia="zh-CN" w:bidi="ar-SA"/>
        </w:rPr>
        <w:t xml:space="preserve">四、</w:t>
      </w:r>
      <w:r>
        <w:rPr>
          <w:rFonts w:hint="eastAsia" w:ascii="宋体" w:hAnsi="宋体" w:eastAsia="宋体" w:cs="宋体"/>
          <w:b/>
          <w:color w:val="auto"/>
          <w:sz w:val="24"/>
          <w:highlight w:val="none"/>
        </w:rPr>
        <w:t xml:space="preserve">投标文件说明</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11.提示与要求</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11.2无论是否递交投标文件，投标人都应将招标文件及以后的所有通知、文件等视为保密文件。</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12. 投标文件计量单位和使用文字</w:t>
      </w:r>
      <w:r/>
    </w:p>
    <w:p>
      <w:pPr>
        <w:ind w:firstLine="501"/>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12.1投标文件中所使用的计量单位，除招标文件中有特殊要求外，均应使用中华人民共和国法定计量单位。</w:t>
      </w:r>
      <w:r/>
    </w:p>
    <w:p>
      <w:pPr>
        <w:ind w:firstLine="501"/>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jc w:val="left"/>
        <w:spacing w:line="360" w:lineRule="auto"/>
        <w:widowControl/>
        <w:rPr>
          <w:rFonts w:ascii="宋体" w:hAnsi="宋体" w:eastAsia="宋体" w:cs="宋体"/>
          <w:b/>
          <w:color w:val="auto"/>
          <w:sz w:val="24"/>
          <w:highlight w:val="none"/>
        </w:rPr>
      </w:pPr>
      <w:r/>
      <w:bookmarkStart w:id="17" w:name="_Toc217446047"/>
      <w:r>
        <w:rPr>
          <w:rFonts w:hint="eastAsia" w:ascii="宋体" w:hAnsi="宋体" w:eastAsia="宋体" w:cs="宋体"/>
          <w:b/>
          <w:color w:val="auto"/>
          <w:sz w:val="24"/>
          <w:highlight w:val="none"/>
        </w:rPr>
        <w:t xml:space="preserve">13. 知识产权</w:t>
      </w:r>
      <w:bookmarkEnd w:id="17"/>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14.投标文件的组成</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14.1.1投标函；</w:t>
      </w:r>
      <w:r/>
    </w:p>
    <w:p>
      <w:pPr>
        <w:ind w:firstLine="480"/>
        <w:jc w:val="left"/>
        <w:spacing w:line="360" w:lineRule="auto"/>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14.1.2开标一览表(</w:t>
      </w:r>
      <w:r>
        <w:rPr>
          <w:rFonts w:hint="eastAsia" w:ascii="宋体" w:hAnsi="宋体" w:eastAsia="宋体" w:cs="宋体"/>
          <w:color w:val="auto"/>
          <w:sz w:val="24"/>
          <w:highlight w:val="none"/>
          <w:lang w:val="en-US" w:eastAsia="zh-CN"/>
        </w:rPr>
        <w:t xml:space="preserve">系统指定</w:t>
      </w:r>
      <w:r>
        <w:rPr>
          <w:rFonts w:hint="eastAsia" w:ascii="宋体" w:hAnsi="宋体" w:eastAsia="宋体" w:cs="宋体"/>
          <w:color w:val="auto"/>
          <w:sz w:val="24"/>
          <w:highlight w:val="none"/>
        </w:rPr>
        <w:t xml:space="preserve">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14.1.3分项报价明细表</w:t>
      </w:r>
      <w:r>
        <w:rPr>
          <w:rFonts w:hint="eastAsia" w:ascii="宋体" w:hAnsi="宋体" w:eastAsia="宋体" w:cs="宋体"/>
          <w:color w:val="auto"/>
          <w:sz w:val="24"/>
          <w:highlight w:val="none"/>
          <w:lang w:val="zh-TW"/>
        </w:rPr>
        <w:t xml:space="preserve">（格式见第三章）</w:t>
      </w:r>
      <w:r>
        <w:rPr>
          <w:rFonts w:hint="eastAsia" w:ascii="宋体" w:hAnsi="宋体" w:eastAsia="宋体" w:cs="宋体"/>
          <w:color w:val="auto"/>
          <w:sz w:val="24"/>
          <w:highlight w:val="none"/>
        </w:rPr>
        <w:t xml:space="preserve">；</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14.2.1关于资格文件的声明函（格式见第三章）；</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14.2.2投标人情况表（格式见第三章）；</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14.2.3投标人法定代表人授权委托书原件（如有授权）（格式见第三章）；</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14.2.4投标人法定代表人身份证复印件；</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14.2.5投标人授权代理人身份证复印件（如有授权）；</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14.2.6合格供应商的基本条件、特定条件所需提供的相应证明材料，具体包括：</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14.2.6.1具有独立承担民事责任的能力证明。包括法人或者其他组织的营业执照等证明文件，自然人的身份证明；</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14.2.6.2具有良好的商业信誉和健全的财务会计制度证明。包括但不限于最近一期经审计的财务报告，其他组织、自然人及成立未满一年的法人应提供银行出具的资信证明；</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14.2.6.3履行合同所必备的设备和专业技术能力的证明材料</w:t>
      </w:r>
      <w:r>
        <w:rPr>
          <w:rFonts w:hint="eastAsia" w:ascii="宋体" w:hAnsi="宋体" w:eastAsia="宋体" w:cs="宋体"/>
          <w:color w:val="auto"/>
          <w:sz w:val="24"/>
          <w:highlight w:val="none"/>
          <w:lang w:val="en-US" w:eastAsia="zh-CN"/>
        </w:rPr>
        <w:t xml:space="preserve">或声明</w:t>
      </w:r>
      <w:r>
        <w:rPr>
          <w:rFonts w:hint="eastAsia" w:ascii="宋体" w:hAnsi="宋体" w:eastAsia="宋体" w:cs="宋体"/>
          <w:color w:val="auto"/>
          <w:sz w:val="24"/>
          <w:highlight w:val="none"/>
        </w:rPr>
        <w:t xml:space="preserve">。（格式见第三章）；</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14.2.6.4有依法缴纳税收和社会保障资金的良好记录。（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14.2.6.5参加政府采购活动前三年内在经营活动中没有重大违法记录的书面声明函（格式见第三章）；</w:t>
      </w:r>
      <w:r/>
    </w:p>
    <w:p>
      <w:pPr>
        <w:ind w:firstLine="480"/>
        <w:spacing w:line="360" w:lineRule="auto"/>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14.2.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中小企业声明函（格式见第三章）</w:t>
      </w:r>
      <w:r>
        <w:rPr>
          <w:rFonts w:hint="eastAsia" w:ascii="宋体" w:hAnsi="宋体" w:eastAsia="宋体" w:cs="宋体"/>
          <w:b/>
          <w:bCs/>
          <w:color w:val="auto"/>
          <w:sz w:val="24"/>
          <w:highlight w:val="none"/>
          <w:lang w:val="zh-CN"/>
        </w:rPr>
        <w:t xml:space="preserve">（如属）</w:t>
      </w:r>
      <w:r>
        <w:rPr>
          <w:rFonts w:hint="eastAsia" w:ascii="宋体" w:hAnsi="宋体" w:eastAsia="宋体" w:cs="宋体"/>
          <w:b/>
          <w:bCs/>
          <w:color w:val="auto"/>
          <w:sz w:val="24"/>
          <w:highlight w:val="none"/>
        </w:rPr>
        <w:t xml:space="preserve">、残疾人福利性单位声明函（格式见第三章）（如属）、</w:t>
      </w:r>
      <w:r>
        <w:rPr>
          <w:rFonts w:hint="eastAsia" w:ascii="宋体" w:hAnsi="宋体" w:eastAsia="宋体" w:cs="宋体"/>
          <w:b/>
          <w:bCs/>
          <w:color w:val="auto"/>
          <w:sz w:val="24"/>
          <w:highlight w:val="none"/>
          <w:lang w:val="zh-CN"/>
        </w:rPr>
        <w:t xml:space="preserve">监狱企业证明文件（如属）</w:t>
      </w:r>
      <w:r>
        <w:rPr>
          <w:rFonts w:hint="eastAsia" w:ascii="宋体" w:hAnsi="宋体" w:eastAsia="宋体" w:cs="宋体"/>
          <w:b/>
          <w:bCs/>
          <w:color w:val="auto"/>
          <w:sz w:val="24"/>
          <w:highlight w:val="none"/>
        </w:rPr>
        <w:t xml:space="preserve">。</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14.2.7《服务要求</w:t>
      </w:r>
      <w:r>
        <w:rPr>
          <w:rFonts w:hint="eastAsia" w:ascii="宋体" w:hAnsi="宋体" w:eastAsia="宋体" w:cs="宋体"/>
          <w:color w:val="auto"/>
          <w:sz w:val="24"/>
          <w:highlight w:val="none"/>
        </w:rPr>
        <w:t xml:space="preserve">偏离表》、《商务条款偏离表》（格式见第三章）；</w:t>
      </w:r>
      <w:r/>
    </w:p>
    <w:p>
      <w:pPr>
        <w:ind w:firstLine="480"/>
        <w:spacing w:line="360" w:lineRule="auto"/>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14.2.</w:t>
      </w:r>
      <w:r>
        <w:rPr>
          <w:rFonts w:hint="eastAsia" w:ascii="宋体" w:hAnsi="宋体" w:eastAsia="宋体" w:cs="宋体"/>
          <w:color w:val="auto"/>
          <w:sz w:val="24"/>
          <w:highlight w:val="none"/>
          <w:lang w:val="en-US" w:eastAsia="zh-CN"/>
        </w:rPr>
        <w:t xml:space="preserve">8投标保证承诺书（格式见第三章）；</w:t>
      </w:r>
      <w:r/>
    </w:p>
    <w:p>
      <w:pPr>
        <w:ind w:firstLine="480"/>
        <w:spacing w:line="360" w:lineRule="auto"/>
        <w:tabs>
          <w:tab w:val="left" w:pos="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14.2.9针对本项目的服务人员配置表（格式见第三章）；</w:t>
      </w:r>
      <w:r/>
    </w:p>
    <w:p>
      <w:pPr>
        <w:ind w:firstLine="48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14.2.10针对本项目详细服务实施方案（格式见第三章）；</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w:t>
      </w:r>
      <w:r>
        <w:rPr>
          <w:rFonts w:hint="eastAsia" w:ascii="宋体" w:hAnsi="宋体" w:eastAsia="宋体" w:cs="宋体"/>
          <w:color w:val="auto"/>
          <w:sz w:val="24"/>
          <w:highlight w:val="none"/>
          <w:lang w:val="en-US" w:eastAsia="zh-CN"/>
        </w:rPr>
        <w:t xml:space="preserve">11《企业类似业绩一览表》（格式见第三章）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14.2.1</w:t>
      </w:r>
      <w:r>
        <w:rPr>
          <w:rFonts w:hint="eastAsia" w:ascii="宋体" w:hAnsi="宋体" w:eastAsia="宋体" w:cs="宋体"/>
          <w:color w:val="auto"/>
          <w:sz w:val="24"/>
          <w:highlight w:val="none"/>
          <w:lang w:val="en-US" w:eastAsia="zh-CN"/>
        </w:rPr>
        <w:t xml:space="preserve">2响应单位综合实力</w:t>
      </w:r>
      <w:r>
        <w:rPr>
          <w:rFonts w:hint="eastAsia" w:ascii="宋体" w:hAnsi="宋体" w:eastAsia="宋体" w:cs="宋体"/>
          <w:color w:val="auto"/>
          <w:sz w:val="24"/>
          <w:highlight w:val="none"/>
        </w:rPr>
        <w:t xml:space="preserve">；</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招标文件中要求提供的其他相关证明材料；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14.2.1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其它有关资格证明文件：</w:t>
      </w:r>
      <w:r/>
    </w:p>
    <w:p>
      <w:pPr>
        <w:ind w:firstLine="480"/>
        <w:spacing w:line="360" w:lineRule="auto"/>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14.2.1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.1其他可以证明投标人资信、资质和货物、服务质量的证书、文件、推荐信等资料；</w:t>
      </w:r>
      <w:r/>
    </w:p>
    <w:p>
      <w:pPr>
        <w:ind w:firstLine="482"/>
        <w:spacing w:line="360" w:lineRule="auto"/>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注：1：投标人必须提交上述14.1.1—14.2.</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款规定的资料，否则，投标文件将因未实质响应招标文件而被拒绝；投标人所提交的文件的完整与否，将直接影响投标人的评分。</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15.投标文件编制要求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15.1</w:t>
      </w:r>
      <w:r>
        <w:rPr>
          <w:rFonts w:hint="eastAsia" w:ascii="宋体" w:hAnsi="宋体" w:eastAsia="宋体" w:cs="宋体"/>
          <w:color w:val="auto"/>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15.2</w:t>
      </w:r>
      <w:r>
        <w:rPr>
          <w:rFonts w:hint="eastAsia" w:ascii="宋体" w:hAnsi="宋体" w:eastAsia="宋体" w:cs="宋体"/>
          <w:color w:val="auto"/>
          <w:sz w:val="24"/>
          <w:highlight w:val="none"/>
        </w:rPr>
        <w:t xml:space="preserve">如投标(响应)文件制作机器码信息一致，视为不同投标供应商使用同一台电脑编制投标(响应)文件，投标(响应)无效。</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16.投标报价（编制）要求的说明</w:t>
      </w:r>
      <w:r/>
    </w:p>
    <w:p>
      <w:pPr>
        <w:ind w:firstLine="480"/>
        <w:spacing w:line="360" w:lineRule="auto"/>
        <w:rPr>
          <w:rFonts w:ascii="宋体" w:hAnsi="宋体" w:eastAsia="宋体" w:cs="宋体"/>
          <w:color w:val="auto"/>
          <w:sz w:val="24"/>
          <w:highlight w:val="none"/>
          <w:lang w:val="zh-TW"/>
        </w:rPr>
      </w:pPr>
      <w:r>
        <w:rPr>
          <w:rFonts w:hint="eastAsia" w:ascii="宋体" w:hAnsi="宋体" w:eastAsia="宋体" w:cs="宋体"/>
          <w:color w:val="auto"/>
          <w:sz w:val="24"/>
          <w:highlight w:val="none"/>
          <w:lang w:val="zh-TW" w:eastAsia="zh-TW"/>
        </w:rPr>
        <w:t xml:space="preserve">1</w:t>
      </w: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zh-TW" w:eastAsia="zh-TW"/>
        </w:rPr>
        <w:t xml:space="preserve">.1除非合同中另有规定，投标人对《</w:t>
      </w:r>
      <w:r>
        <w:rPr>
          <w:rFonts w:hint="eastAsia" w:ascii="宋体" w:hAnsi="宋体" w:eastAsia="宋体" w:cs="宋体"/>
          <w:color w:val="auto"/>
          <w:sz w:val="24"/>
          <w:highlight w:val="none"/>
          <w:lang w:val="zh-TW"/>
        </w:rPr>
        <w:t xml:space="preserve">投标报价表</w:t>
      </w:r>
      <w:r>
        <w:rPr>
          <w:rFonts w:hint="eastAsia" w:ascii="宋体" w:hAnsi="宋体" w:eastAsia="宋体" w:cs="宋体"/>
          <w:color w:val="auto"/>
          <w:sz w:val="24"/>
          <w:highlight w:val="none"/>
          <w:lang w:val="zh-TW" w:eastAsia="zh-TW"/>
        </w:rPr>
        <w:t xml:space="preserve">》中的全部货物和服务的报价包括完成本项工作所需的设备、人工（含人员保险费用）、协调费用、利润、税金、管理费、风险费、文件规定政策性费用等所有费用。投标报价为最终报价，除非因特殊原因并经采购双方协商同意，投标人不得再要求追加任何费用。同时，除非合同条款中另有规定，否则，投标人所报价格在合同实施期间不因市场变化因素而变动。</w:t>
      </w:r>
      <w:r/>
    </w:p>
    <w:p>
      <w:pPr>
        <w:ind w:firstLine="480"/>
        <w:spacing w:line="360" w:lineRule="auto"/>
        <w:rPr>
          <w:rFonts w:ascii="宋体" w:hAnsi="宋体" w:eastAsia="宋体" w:cs="宋体"/>
          <w:color w:val="auto"/>
          <w:sz w:val="24"/>
          <w:highlight w:val="none"/>
          <w:lang w:val="zh-TW" w:eastAsia="zh-TW"/>
        </w:rPr>
      </w:pPr>
      <w:r>
        <w:rPr>
          <w:rFonts w:hint="eastAsia" w:ascii="宋体" w:hAnsi="宋体" w:eastAsia="宋体" w:cs="宋体"/>
          <w:color w:val="auto"/>
          <w:sz w:val="24"/>
          <w:highlight w:val="none"/>
          <w:lang w:val="zh-TW"/>
        </w:rPr>
        <w:t xml:space="preserve">投标报价为最终报价，除非因特殊原因并经采购双方协商同意，投标人不得再要求追加任何费用。同时，除非合同条款中另有规定，否则，投标人所报价格在合同实施期间不因市场变化因素而变动。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16.2投标人应按《</w:t>
      </w:r>
      <w:r>
        <w:rPr>
          <w:rFonts w:hint="eastAsia" w:ascii="宋体" w:hAnsi="宋体" w:eastAsia="宋体" w:cs="宋体"/>
          <w:color w:val="auto"/>
          <w:sz w:val="24"/>
          <w:highlight w:val="none"/>
          <w:lang w:val="zh-TW"/>
        </w:rPr>
        <w:t xml:space="preserve">投标报价表</w:t>
      </w:r>
      <w:r>
        <w:rPr>
          <w:rFonts w:hint="eastAsia" w:ascii="宋体" w:hAnsi="宋体" w:eastAsia="宋体" w:cs="宋体"/>
          <w:color w:val="auto"/>
          <w:sz w:val="24"/>
          <w:highlight w:val="none"/>
        </w:rPr>
        <w:t xml:space="preserve">》中的全部货物和服务计算单价和总价。《</w:t>
      </w:r>
      <w:r>
        <w:rPr>
          <w:rFonts w:hint="eastAsia" w:ascii="宋体" w:hAnsi="宋体" w:eastAsia="宋体" w:cs="宋体"/>
          <w:color w:val="auto"/>
          <w:sz w:val="24"/>
          <w:highlight w:val="none"/>
          <w:lang w:val="zh-TW"/>
        </w:rPr>
        <w:t xml:space="preserve">投标报价表</w:t>
      </w:r>
      <w:r>
        <w:rPr>
          <w:rFonts w:hint="eastAsia" w:ascii="宋体" w:hAnsi="宋体" w:eastAsia="宋体" w:cs="宋体"/>
          <w:color w:val="auto"/>
          <w:sz w:val="24"/>
          <w:highlight w:val="none"/>
        </w:rPr>
        <w:t xml:space="preserve">》中的每一单项均应计算并填写单价和总价，并由法定代表人或授权代理人签署。投标人未填单价或合价的项目，在实施后，采购人将不予支付，并视为该项费用已包括在其它有价款的单价或合价内。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16.4一项投标内容只允许一个报价，采购人或采购代理机构不接受任何有选择性的投标报价。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16.5投标文件报价中的单价和总价全部采用人民币表示，除非合同的特殊条款另有规定。</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16.6</w:t>
      </w:r>
      <w:r>
        <w:rPr>
          <w:rFonts w:hint="eastAsia" w:ascii="宋体" w:hAnsi="宋体" w:eastAsia="宋体" w:cs="宋体"/>
          <w:b/>
          <w:bCs/>
          <w:color w:val="auto"/>
          <w:sz w:val="24"/>
          <w:highlight w:val="none"/>
        </w:rPr>
        <w:t xml:space="preserve">最低报价不能作为中标的保证</w:t>
      </w:r>
      <w:r>
        <w:rPr>
          <w:rFonts w:hint="eastAsia" w:ascii="宋体" w:hAnsi="宋体" w:eastAsia="宋体" w:cs="宋体"/>
          <w:color w:val="auto"/>
          <w:sz w:val="24"/>
          <w:highlight w:val="none"/>
        </w:rPr>
        <w:t xml:space="preserve">。</w:t>
      </w:r>
      <w:r/>
    </w:p>
    <w:p>
      <w:pPr>
        <w:jc w:val="left"/>
        <w:spacing w:line="360" w:lineRule="auto"/>
        <w:widowControl/>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17.投标保证金</w:t>
      </w:r>
      <w:r/>
    </w:p>
    <w:p>
      <w:pPr>
        <w:ind w:firstLine="482"/>
        <w:jc w:val="left"/>
        <w:spacing w:line="360" w:lineRule="auto"/>
        <w:widowControl/>
        <w:rPr>
          <w:rFonts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本</w:t>
      </w:r>
      <w:r>
        <w:rPr>
          <w:rFonts w:hint="eastAsia" w:ascii="宋体" w:hAnsi="宋体" w:eastAsia="宋体" w:cs="宋体"/>
          <w:b/>
          <w:color w:val="auto"/>
          <w:sz w:val="24"/>
          <w:highlight w:val="none"/>
        </w:rPr>
        <w:t xml:space="preserve">项目不收投标（响应）保证金，投标（响应）人应在投标（响应）文件中提交《投标（响应）保证承诺书》（格式详见招标文件第二章）。</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18.投标文件的有效期</w:t>
      </w:r>
      <w:r/>
    </w:p>
    <w:p>
      <w:pPr>
        <w:ind w:firstLine="502"/>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18.1在本招标文件前附表规定的投标文件有效期内，投标人所提交的投标文件应保持有效。有效期短于这个规定期限的投标文件，将被认定为未实质性响应招标文件要求。</w:t>
      </w:r>
      <w:r/>
    </w:p>
    <w:p>
      <w:pPr>
        <w:ind w:firstLine="502"/>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18.2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p>
    <w:p>
      <w:pPr>
        <w:numPr>
          <w:ilvl w:val="0"/>
          <w:numId w:val="1"/>
        </w:num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投标文件的制作、签署、上传</w:t>
      </w:r>
      <w:r/>
    </w:p>
    <w:p>
      <w:pPr>
        <w:ind w:left="0" w:firstLine="489"/>
        <w:jc w:val="both"/>
        <w:spacing w:line="360" w:lineRule="auto"/>
        <w:rPr>
          <w:rFonts w:ascii="宋体" w:hAnsi="宋体" w:eastAsia="宋体" w:cs="Times New Roman"/>
          <w:b/>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w:t>
      </w:r>
      <w:r>
        <w:rPr>
          <w:rFonts w:ascii="宋体" w:hAnsi="宋体" w:eastAsia="宋体" w:cs="宋体"/>
          <w:color w:val="auto"/>
          <w:sz w:val="24"/>
          <w:szCs w:val="24"/>
          <w:highlight w:val="none"/>
          <w:lang w:val="zh-CN" w:eastAsia="zh-CN" w:bidi="ar-SA"/>
        </w:rPr>
        <w:t xml:space="preserve">9</w:t>
      </w:r>
      <w:r>
        <w:rPr>
          <w:rFonts w:hint="eastAsia" w:ascii="宋体" w:hAnsi="宋体" w:eastAsia="宋体" w:cs="宋体"/>
          <w:color w:val="auto"/>
          <w:sz w:val="24"/>
          <w:szCs w:val="24"/>
          <w:highlight w:val="none"/>
          <w:lang w:val="zh-CN" w:eastAsia="zh-CN" w:bidi="ar-SA"/>
        </w:rPr>
        <w:t xml:space="preserve">.1</w:t>
      </w:r>
      <w:r>
        <w:rPr>
          <w:rFonts w:hint="eastAsia" w:ascii="宋体" w:hAnsi="宋体" w:eastAsia="宋体" w:cs="Times New Roman"/>
          <w:color w:val="auto"/>
          <w:sz w:val="24"/>
          <w:szCs w:val="24"/>
          <w:highlight w:val="none"/>
          <w:lang w:val="zh-CN" w:eastAsia="zh-CN" w:bidi="ar-SA"/>
        </w:rPr>
        <w:t xml:space="preserve">本项目采用电子招投标形式，请供应商按照</w:t>
      </w:r>
      <w:r>
        <w:rPr>
          <w:rFonts w:hint="eastAsia" w:ascii="宋体" w:hAnsi="宋体" w:eastAsia="宋体" w:cs="Times New Roman"/>
          <w:b/>
          <w:color w:val="auto"/>
          <w:sz w:val="24"/>
          <w:szCs w:val="24"/>
          <w:highlight w:val="none"/>
          <w:lang w:val="zh-CN" w:eastAsia="zh-CN" w:bidi="ar-SA"/>
        </w:rPr>
        <w:t xml:space="preserve">《苏采云系统供应商操作手册》</w:t>
      </w:r>
      <w:r>
        <w:rPr>
          <w:rFonts w:hint="eastAsia" w:ascii="宋体" w:hAnsi="宋体" w:eastAsia="宋体" w:cs="Times New Roman"/>
          <w:color w:val="auto"/>
          <w:sz w:val="24"/>
          <w:szCs w:val="24"/>
          <w:highlight w:val="none"/>
          <w:lang w:val="zh-CN" w:eastAsia="zh-CN" w:bidi="ar-SA"/>
        </w:rPr>
        <w:t xml:space="preserve">进行制作、上传电子投标文件。</w:t>
      </w:r>
      <w:r/>
    </w:p>
    <w:p>
      <w:pPr>
        <w:ind w:left="0" w:firstLine="480"/>
        <w:jc w:val="both"/>
        <w:spacing w:line="360" w:lineRule="auto"/>
        <w:rPr>
          <w:rFonts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w:t>
      </w:r>
      <w:r>
        <w:rPr>
          <w:rFonts w:ascii="宋体" w:hAnsi="宋体" w:eastAsia="宋体" w:cs="宋体"/>
          <w:color w:val="auto"/>
          <w:sz w:val="24"/>
          <w:szCs w:val="24"/>
          <w:highlight w:val="none"/>
          <w:lang w:val="zh-CN" w:eastAsia="zh-CN" w:bidi="ar-SA"/>
        </w:rPr>
        <w:t xml:space="preserve">9.2</w:t>
      </w:r>
      <w:r>
        <w:rPr>
          <w:rFonts w:hint="eastAsia" w:ascii="宋体" w:hAnsi="宋体" w:eastAsia="宋体" w:cs="宋体"/>
          <w:color w:val="auto"/>
          <w:sz w:val="24"/>
          <w:szCs w:val="24"/>
          <w:highlight w:val="none"/>
          <w:lang w:val="zh-CN" w:eastAsia="zh-CN" w:bidi="ar-SA"/>
        </w:rPr>
        <w:t xml:space="preserve">制作电子投标文件时，应按照招标文件要求加盖投标人电子公章。</w:t>
      </w:r>
      <w:r/>
    </w:p>
    <w:p>
      <w:pPr>
        <w:ind w:left="0" w:firstLine="480"/>
        <w:jc w:val="both"/>
        <w:spacing w:line="360" w:lineRule="auto"/>
        <w:rPr>
          <w:rFonts w:hint="eastAsia"/>
          <w:color w:val="auto"/>
          <w:highlight w:val="none"/>
        </w:rPr>
      </w:pPr>
      <w:r>
        <w:rPr>
          <w:rFonts w:hint="eastAsia" w:ascii="宋体" w:hAnsi="宋体" w:eastAsia="宋体" w:cs="宋体"/>
          <w:color w:val="auto"/>
          <w:sz w:val="24"/>
          <w:szCs w:val="24"/>
          <w:highlight w:val="none"/>
          <w:lang w:val="zh-CN" w:eastAsia="zh-CN" w:bidi="ar-SA"/>
        </w:rPr>
        <w:t xml:space="preserve">1</w:t>
      </w:r>
      <w:r>
        <w:rPr>
          <w:rFonts w:ascii="宋体" w:hAnsi="宋体" w:eastAsia="宋体" w:cs="宋体"/>
          <w:color w:val="auto"/>
          <w:sz w:val="24"/>
          <w:szCs w:val="24"/>
          <w:highlight w:val="none"/>
          <w:lang w:val="zh-CN" w:eastAsia="zh-CN" w:bidi="ar-SA"/>
        </w:rPr>
        <w:t xml:space="preserve">9</w:t>
      </w:r>
      <w:r>
        <w:rPr>
          <w:rFonts w:hint="eastAsia" w:ascii="宋体" w:hAnsi="宋体" w:eastAsia="宋体" w:cs="宋体"/>
          <w:color w:val="auto"/>
          <w:sz w:val="24"/>
          <w:szCs w:val="24"/>
          <w:highlight w:val="none"/>
          <w:lang w:val="zh-CN" w:eastAsia="zh-CN" w:bidi="ar-SA"/>
        </w:rPr>
        <w:t xml:space="preserve">.3</w:t>
      </w:r>
      <w:r>
        <w:rPr>
          <w:rFonts w:hint="eastAsia" w:ascii="宋体" w:hAnsi="宋体" w:eastAsia="宋体" w:cs="宋体"/>
          <w:b/>
          <w:color w:val="auto"/>
          <w:sz w:val="24"/>
          <w:szCs w:val="24"/>
          <w:highlight w:val="none"/>
          <w:lang w:val="zh-CN" w:eastAsia="zh-CN" w:bidi="ar-SA"/>
        </w:rPr>
        <w:t xml:space="preserve">电子投标文件制作完成后请于</w:t>
      </w:r>
      <w:r>
        <w:rPr>
          <w:rFonts w:hint="eastAsia" w:ascii="宋体" w:hAnsi="宋体" w:eastAsia="宋体" w:cs="Times New Roman"/>
          <w:b/>
          <w:color w:val="auto"/>
          <w:sz w:val="24"/>
          <w:szCs w:val="24"/>
          <w:highlight w:val="none"/>
          <w:lang w:val="zh-CN" w:eastAsia="zh-CN" w:bidi="ar-SA"/>
        </w:rPr>
        <w:t xml:space="preserve">投标文件网上提交截止时间</w:t>
      </w:r>
      <w:r>
        <w:rPr>
          <w:rFonts w:hint="eastAsia" w:ascii="宋体" w:hAnsi="宋体" w:eastAsia="宋体" w:cs="宋体"/>
          <w:b/>
          <w:color w:val="auto"/>
          <w:sz w:val="24"/>
          <w:szCs w:val="24"/>
          <w:highlight w:val="none"/>
          <w:lang w:val="zh-CN" w:eastAsia="zh-CN" w:bidi="ar-SA"/>
        </w:rPr>
        <w:t xml:space="preserve">前成功上传至“苏采云”系统，否则视为放弃参加该采购项目。</w:t>
      </w:r>
      <w:bookmarkStart w:id="18" w:name="_Toc31150"/>
      <w:r/>
      <w:bookmarkStart w:id="19" w:name="_Toc25608"/>
      <w:r>
        <w:rPr>
          <w:rFonts w:hint="eastAsia" w:ascii="宋体" w:hAnsi="宋体" w:eastAsia="宋体" w:cs="宋体"/>
          <w:color w:val="auto"/>
          <w:sz w:val="24"/>
          <w:szCs w:val="24"/>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8"/>
      <w:r/>
      <w:bookmarkEnd w:id="19"/>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五、投标文件的递交</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20.投标文件的递交</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20.1投标人应当在在投标截止时间前制作并上传电子投标文件。</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20.2投标人通过“苏采云”系统不见面开标大厅在线参与开标活动。（具体操作详见《苏采云系统供应商操作手册》，网址链接https://czju.suzhou.gov.cn/zfcg/html/content/20231220161910031.shtml）</w:t>
      </w:r>
      <w:r/>
    </w:p>
    <w:p>
      <w:pPr>
        <w:jc w:val="both"/>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21.投标截止时间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21.1投标人应当在招标文件要求投标文件网上提交截止时间前，将投标文件完成提交（上传）。逾期提交（上传）的投标文件，采购人和采购代理机构拒绝接收。</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21.3在投标截止时间止成功解密的投标文件少于三份，采购代理机构有权宣布本次招标失败。</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22.投标文件的补充、修改和撤回</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六、开标和评标</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23.开标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23.3.1公开招标采购项目开标结束后，采购人应当依法对投标人的资格进行审查，未通过资格审查的视为无效投标。</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23.3.2根据政府采购法及相关法规，以及苏州市财政局《关于印发苏州市市级政府采购信用记录查询和使用工作试行办法的通知》（苏财购（2017）11号）文件的规定，采购代理机构将对供应商进行信用查询：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23.3.2.1查询时间：投标文件递交截止时间。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23.3.2.2查询渠道：采购代理机构会在接收投标文件截止时间后，登录信用中国网站（www.creditchina.gov.cn）和中国政府采购网（www.ccgp.gov.cn/）查询供应商的信用记录。</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23.3.</w:t>
      </w:r>
      <w:r>
        <w:rPr>
          <w:rFonts w:hint="eastAsia" w:ascii="宋体" w:hAnsi="宋体" w:cs="宋体"/>
          <w:color w:val="auto"/>
          <w:sz w:val="24"/>
          <w:highlight w:val="none"/>
          <w:lang w:val="en-US" w:eastAsia="zh-CN"/>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24.评标委员会</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24.1评标委员会负责具体评标事务，并独立履行下列职责：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24.1.1审查、评价投标文件是否符合招标文件的商务、技术等实质性要求；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24.1.2要求投标人对投标文件有关事项作出澄清或者说明；</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24.1.3对投标文件进行比较和评价；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24.1.4确定中标候选人名单，以及根据采购人委托直接确定中标人；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24.1.5向采购人、采购代理机构或者有关部门报告评标中发现的违法行为。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24.2评标委员会成员应当履行下列义务：</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24.2.1遵纪守法，客观、公正、廉洁地履行职责；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24.2.2按照招标文件规定的评标办法和评标标准进行评标，对评审意见承担个人责任；</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24.2.3对评标过程和结果，以及投标人的商业秘密保密；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24.2.4评标委员会根据全体评标成员签字的原始评标记录和评标结果编写评标报告。评标报告应当包括以下内容： </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（一）招标公告刊登的媒体名称、开标日期和地点；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（二）投标人名单和评标委员会成员名单；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（三）评标方法和标准；</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（四）开标记录和评标情况及说明，包括无效投标人名单及原因；</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（五）评标结果，确定的中标候选人名单或者经采购人委托直接确定的中标人；</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（六）其他需要说明的情况，包括评标过程中投标人根据评标委员会要求进行的澄清、说明或者补正，评标委员会成员的更换等。</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24.2.5配合相关部门的投诉处理工作；</w:t>
      </w:r>
      <w:r/>
    </w:p>
    <w:p>
      <w:pPr>
        <w:ind w:firstLine="50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24.2.6配合采购人和采购代理机构答复投标人提出的质疑。</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25.评标内容的保密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25.2在投标文件的审查、澄清、评价和比较以及授予合同的过程中，投标人对采购人或采购代理机构和评标委员会成员施加影响的任何行为，都将取消其中标资格。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25.3在评标期间，采购人或采购代理机构将通过指定联络人与投标人进行联系。</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26.对投标文件初审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26.1投标文件初审分为资格性检查和符合性检查。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26.1.1资格性检查。依据法律法规和招标文件的规定，对投标文件中的资格证明、投标保证金等进行审查，以确定投标供应商是否具备投标资格。</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26.1.2符合性检查。依据招标文件的规定，从投标文件的有效性、完整性和对招标文件的响应程度进行审查，以确定是否对招标文件的实质性要求作出响应。</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26.2公开招标采购项目开标结束后，采购人或采购代理机构应当依法对投标人的资格进行审查。合格投标人不足3家的，不得评标。</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26.3投标人存在下列情况之一的，投标无效：</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26.3.1未按照招标文件的规定提交投标保证金的；</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26.3.2投标文件未按招标文件要求签署、盖章的；</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26.3.3不具备招标文件中规定的资格要求的；</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26.3.4报价超过招标文件中规定的预算金额或者最高限价的；</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26.3.5投标文件含有采购人不能接受的附加条件的；</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26.3.6法律、法规和招标文件规定的其他无效情形。</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26.4有下列情形之一的，视为投标人串通投标，其投标无效：</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26.4.1不同投标人的投标文件由同一单位或者个人编制；</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26.4.2不同投标人委托同一单位或者个人办理投标事宜；</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26.4.3不同投标人的投标文件载明的项目管理成员或者联系人员为同一人；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26.4.4不同投标人的投标文件异常一致或者投标报价呈规律性差异；</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26.4.5不同投标人的投标文件相互混装；</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26.4.6不同投标人的投标保证金从同一单位或者个人的账户转出。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26.5评标委员会应当对符合资格的投标人的投标文件进行符合性审查，以确定其是否满足招标文件的实质性要求。</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26.6评标委员会将对确定为实质性响应的投标进行审核，看其是否有计算上或累加上的算术错误。投标文件报价出现前后不一致的，除招标文件另有规定外，按照下列规定修正：</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26.6.1投标文件中开标一览表（报价表）内容与投标文件中相应内容不一致的，以开标一览表（报价表）为准；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26.6.2大写金额和小写金额不一致的，以大写金额为准；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26.6.3单价金额小数点或者百分比有明显错位的，以开标一览表的总价为准，并修改单价；</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26.6.4总价金额与按单价汇总金额不一致的，以单价金额计算结果为准。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按照本须知27.1第二款（按照《中华人民共和国财政部令第87号》第五十一条第二款）的规定经投标人确认后产生约束力，投标人不确认的，其投标无效。</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26.6.5投标人不同意以上修正，则其投标将被拒绝。</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26.7 评标委员会对投标文件的判定，只依据投标内容本身，不依据开标后的任何外来证明。</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26.8评标委员会将拒绝被确定为非实质性响应的投标，投标人不能通过修正或撤销不符之处而使其投标成为实质性响应的投标。</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27.投标的澄清</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27.1对于投标文件中含义不明确、同类问题表述不一致或者有明显文字和计算错误的内容，评标委员会应当以书面形式要求投标人作出必要的澄清、说明或者补正。</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2"/>
        <w:jc w:val="left"/>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700"/>
        <w:rPr>
          <w:color w:val="auto"/>
          <w:highlight w:val="none"/>
        </w:rPr>
      </w:pPr>
      <w:r>
        <w:rPr>
          <w:color w:val="auto"/>
          <w:highlight w:val="none"/>
        </w:rPr>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28.废标</w:t>
      </w:r>
      <w:r/>
    </w:p>
    <w:p>
      <w:pPr>
        <w:ind w:firstLine="645"/>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28.1 在招标采购中，出现下列情形之一的，应予废标：</w:t>
      </w:r>
      <w:r/>
    </w:p>
    <w:p>
      <w:pPr>
        <w:ind w:firstLine="645"/>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28.1.1符合专业条件的供应商或者对招标文件作实质响应的供应商不足三家的；</w:t>
      </w:r>
      <w:r/>
    </w:p>
    <w:p>
      <w:pPr>
        <w:ind w:firstLine="645"/>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28.1.2出现影响采购公正的违法、违规行为的；</w:t>
      </w:r>
      <w:r/>
    </w:p>
    <w:p>
      <w:pPr>
        <w:ind w:firstLine="645"/>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28.1.3投标人的报价均超过了采购预算，采购人不能支付的；</w:t>
      </w:r>
      <w:r/>
    </w:p>
    <w:p>
      <w:pPr>
        <w:ind w:firstLine="645"/>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28.1.4因重大变故，采购任务取消的。</w:t>
      </w:r>
      <w:r/>
    </w:p>
    <w:p>
      <w:pPr>
        <w:ind w:firstLine="645"/>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28.2 废标后，采购人应当将废标理由通知所有投标人。</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29.投标文件的评价和比较</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29.1评标委员会应当按照招标文件中规定的评标方法和标准，对资格性检查和符合性审查合格的投标文件进行商务和技术评估，综合比较与评价。</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29.2评价和比较采用的办法见前附表，具体内容详见招标文件第六章。本项目评价和比较采用综合评分法。综合评分法，是指投标文件满足招标文件全部实质性要求，且按照评审因素的量化指标评审得分最高的投标人为中标候选人的评标方法。</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29.3最低的投标报价或最高的折扣比例是中标的重要条件，但不是唯一条件。</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29.5评标委员会成员对需要共同认定的事项存在争议的，应当按照少数服从多数的原则作出结论。持不同意见的评标委员会成员应当在评标报告上签署不同意见及理由，否则视为同意评标报告。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29.6评标委员会及其成员不得有下列行为：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29.6.1确定参与评标至评标结束前私自接触投标人；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29.6.2接受投标人提出的与投标文件不一致的澄清或者说明，本本须知26.1规定的情形除外；</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29.6.3违反评标纪律发表倾向性意见或者征询采购人的倾向性意见；</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29.6.4对需要专业判断的主观评审因素协商评分；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29.6.5在评标过程中擅离职守，影响评标程序正常进行的；</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29.6.6记录、复制或者带走任何评标资料；</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29.6.7其他不遵守评标纪律的行为。</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评标委员会成员有前款第一至五项行为之一的，其评审意见无效，并不得获取评审劳务报酬和报销异地评审差旅费。</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七、授予合同</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30.中标单位的确认</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30.1评标委员会按招标文件规定的评标方法和标准进行详细评审后，按招标采购单位的委托向招标采购单位推荐中标候选单位或根据采购人授权直接确定中标供应商。本项目由采购人授权评标委员会在候选供应商名单中直接确定中标供应商。</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30.2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31.合同授予标准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32.中标通知书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32.1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32.2中标通知书发出后，采购人不得违法改变中标结果，中标人无正当理由不得放弃中标。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32.3中标通知书将成为合同的组成部分。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32.4招标采购单位对未中标供应商不承担解释未中标原因的义务。</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33.履约保证金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本项目免收履约保证金。</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34. 合同的签订</w:t>
      </w:r>
      <w:r/>
    </w:p>
    <w:p>
      <w:pPr>
        <w:ind w:firstLine="60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34.1采购人应当自中标通知书发出之日起</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w:t>
      </w:r>
      <w:r/>
    </w:p>
    <w:p>
      <w:pPr>
        <w:ind w:firstLine="60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采购人不得向中标人提出任何不合理的要求作为签订合同的条件。</w:t>
      </w:r>
      <w:r/>
    </w:p>
    <w:p>
      <w:pPr>
        <w:ind w:firstLine="60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34.2中标供应商应按中标通知书中规定的时间和地点，由法定代表人或授权代理人与采购人代表签订合同。</w:t>
      </w:r>
      <w:r/>
    </w:p>
    <w:p>
      <w:pPr>
        <w:ind w:firstLine="60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34.3签订合同及合同条款应以招标文件和中标供应商的投标文件及其澄清文件为依据。</w:t>
      </w:r>
      <w:r/>
    </w:p>
    <w:p>
      <w:pPr>
        <w:ind w:firstLine="60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34.4中标人无正当理由拒签合同的，或在签订合同时向采购人提出附加条件或者更改合同实质性内容的，采购人可取消其中标资格，并不予退还其投标保证金，同时由中标人承担相应的法律责任。</w:t>
      </w:r>
      <w:r/>
    </w:p>
    <w:p>
      <w:pPr>
        <w:ind w:firstLine="60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34.5政府采购合同应当包括采购人与中标人的名称和住所、标的、数量、质量、价款或者报酬、履行期限及地点和方式、验收要求、违约责任、解决争议的方法等内容。</w:t>
      </w:r>
      <w:r/>
    </w:p>
    <w:p>
      <w:pPr>
        <w:ind w:firstLine="60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34.6采购人与中标人应当根据合同的约定依法履行合同义务。政府采购合同的履行、违约责任和解决争议的方法等适用《中华人民共和国合同法》。</w:t>
      </w:r>
      <w:r/>
    </w:p>
    <w:p>
      <w:pPr>
        <w:ind w:firstLine="60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34.7采购人应当及时对采购项目进行验收。采购人可以邀请参加本项目的其他投标人或者第三方机构参与验收。参与验收的投标人或者第三方机构的意见作为验收书的参考资料一并存档。</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八、其他事项</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35.代理服务费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35.1中标单位须按前附表的规定计算并支付代理服务费，该费用应在领取中标通知书时付清。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35.2中标单位如果未按规定缴纳代理服务费，采购代理机构将不予退还其投标保证金，并保留诉讼的权利。</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35.3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p>
    <w:p>
      <w:pPr>
        <w:jc w:val="center"/>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开票信息</w:t>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4"/>
        <w:gridCol w:w="5981"/>
      </w:tblGrid>
      <w:tr>
        <w:trPr>
          <w:jc w:val="center"/>
        </w:trPr>
        <w:tc>
          <w:tcPr>
            <w:tcW w:w="2634"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tc>
        <w:tc>
          <w:tcPr>
            <w:tcW w:w="5981"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2634"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c>
          <w:tcPr>
            <w:tcW w:w="5981"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2634"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tc>
        <w:tc>
          <w:tcPr>
            <w:tcW w:w="5981"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2634"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税号</w:t>
            </w:r>
            <w:r/>
          </w:p>
        </w:tc>
        <w:tc>
          <w:tcPr>
            <w:tcW w:w="5981"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2634"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tc>
        <w:tc>
          <w:tcPr>
            <w:tcW w:w="5981"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W w:w="2634"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p>
        </w:tc>
        <w:tc>
          <w:tcPr>
            <w:tcW w:w="5981" w:type="dxa"/>
            <w:vAlign w:val="top"/>
            <w:textDirection w:val="lrTb"/>
            <w:noWrap w:val="false"/>
          </w:tcPr>
          <w:p>
            <w:pPr>
              <w:jc w:val="left"/>
              <w:spacing w:line="36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请中标单位将公司开票信息以word文档格式发送至邮箱：</w:t>
      </w:r>
      <w:r>
        <w:rPr>
          <w:rFonts w:eastAsia="楷体_GB2312" w:cs="Times New Roman"/>
          <w:color w:val="auto"/>
          <w:sz w:val="26"/>
          <w:szCs w:val="20"/>
          <w:highlight w:val="none"/>
        </w:rPr>
        <w:fldChar w:fldCharType="begin"/>
      </w:r>
      <w:r>
        <w:rPr>
          <w:rFonts w:eastAsia="楷体_GB2312" w:cs="Times New Roman"/>
          <w:color w:val="auto"/>
          <w:sz w:val="26"/>
          <w:szCs w:val="20"/>
          <w:highlight w:val="none"/>
        </w:rPr>
        <w:instrText xml:space="preserve"> HYPERLINK "mailto:2187437752@qq.com" </w:instrText>
      </w:r>
      <w:r>
        <w:rPr>
          <w:rFonts w:eastAsia="楷体_GB2312" w:cs="Times New Roman"/>
          <w:color w:val="auto"/>
          <w:sz w:val="26"/>
          <w:szCs w:val="20"/>
          <w:highlight w:val="none"/>
        </w:rPr>
        <w:fldChar w:fldCharType="separate"/>
      </w:r>
      <w:r>
        <w:rPr>
          <w:rFonts w:hint="eastAsia" w:ascii="宋体" w:hAnsi="宋体" w:cs="宋体"/>
          <w:color w:val="auto"/>
          <w:sz w:val="24"/>
          <w:highlight w:val="none"/>
          <w:lang w:val="en-US" w:eastAsia="zh-CN"/>
        </w:rPr>
        <w:t xml:space="preserve">779156718@qq</w:t>
      </w:r>
      <w:r>
        <w:rPr>
          <w:rFonts w:hint="eastAsia" w:ascii="宋体" w:hAnsi="宋体" w:eastAsia="宋体" w:cs="宋体"/>
          <w:color w:val="auto"/>
          <w:sz w:val="24"/>
          <w:highlight w:val="none"/>
        </w:rPr>
        <w:t xml:space="preserve">.com</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中标单位凭已缴纳代理服务费的银行回单至代理机构领取成交通知书、合同。</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代理服务费账号</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账户名称：苏州信德咨询有限公司</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开户行：中国农业银行股份有限公司苏州吴中支行</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账号：10538301040006796</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36.监督</w:t>
      </w:r>
      <w:r/>
    </w:p>
    <w:p>
      <w:pPr>
        <w:ind w:firstLine="480"/>
        <w:jc w:val="left"/>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有关监督部门将对招投标全过程进行监督。</w:t>
      </w:r>
      <w:r/>
    </w:p>
    <w:p>
      <w:pPr>
        <w:jc w:val="left"/>
        <w:spacing w:line="360" w:lineRule="auto"/>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37.未尽事宜</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按《中华人民共和国政府采购法》及其他有关的法律法规的规定执行。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6"/>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jc w:val="both"/>
        <w:keepLines/>
        <w:keepNext/>
        <w:spacing w:before="340" w:after="330" w:line="578" w:lineRule="auto"/>
        <w:rPr>
          <w:rFonts w:hint="eastAsia" w:ascii="宋体" w:hAnsi="宋体" w:eastAsia="宋体" w:cs="Times New Roman"/>
          <w:b/>
          <w:color w:val="auto"/>
          <w:sz w:val="52"/>
          <w:highlight w:val="none"/>
        </w:rPr>
        <w:outlineLvl w:val="0"/>
      </w:pPr>
      <w:r/>
      <w:bookmarkStart w:id="24" w:name="_GoBack"/>
      <w:r/>
      <w:bookmarkEnd w:id="24"/>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第三章 投标文件格式</w:t>
      </w:r>
      <w:bookmarkEnd w:id="4"/>
      <w:r/>
      <w:bookmarkEnd w:id="5"/>
      <w:r/>
      <w:r/>
    </w:p>
    <w:p>
      <w:pPr>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说明：</w:t>
      </w:r>
      <w:r/>
    </w:p>
    <w:p>
      <w:pPr>
        <w:ind w:firstLine="482"/>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1、对本章所有的投标书格式 ，投标人的补充不得造成与本格式内容有实质性的违背。</w:t>
      </w:r>
      <w:r/>
    </w:p>
    <w:p>
      <w:pPr>
        <w:ind w:firstLine="482"/>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numPr>
          <w:ilvl w:val="0"/>
          <w:numId w:val="2"/>
        </w:numPr>
        <w:ind w:firstLine="420"/>
        <w:rPr>
          <w:rFonts w:ascii="宋体" w:hAnsi="宋体" w:eastAsia="宋体" w:cs="Times New Roman"/>
          <w:b/>
          <w:color w:val="auto"/>
          <w:sz w:val="24"/>
          <w:highlight w:val="none"/>
        </w:rPr>
        <w:outlineLvl w:val="1"/>
      </w:pPr>
      <w:r>
        <w:rPr>
          <w:rFonts w:ascii="宋体" w:hAnsi="宋体" w:eastAsia="宋体" w:cs="Times New Roman"/>
          <w:b/>
          <w:color w:val="auto"/>
          <w:sz w:val="24"/>
          <w:highlight w:val="none"/>
        </w:rPr>
        <w:br w:type="page" w:clear="all"/>
      </w:r>
      <w:r>
        <w:rPr>
          <w:rFonts w:hint="eastAsia" w:ascii="宋体" w:hAnsi="宋体" w:eastAsia="宋体" w:cs="Times New Roman"/>
          <w:b/>
          <w:color w:val="auto"/>
          <w:sz w:val="24"/>
          <w:highlight w:val="none"/>
        </w:rPr>
        <w:t xml:space="preserve">（投标人）法定代表人授权委托书</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jc w:val="cente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法定代表人授权委托书</w:t>
      </w:r>
      <w:r/>
    </w:p>
    <w:p>
      <w:pPr>
        <w:ind w:firstLine="42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本授权委托书声明：我</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（姓名）系</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（投标单位名称）的法定代表人，现授权委托</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（单位名称）的</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（姓名）为我公司代理人，以本公司的名义参加</w:t>
      </w:r>
      <w:r>
        <w:rPr>
          <w:rFonts w:hint="eastAsia" w:ascii="宋体" w:hAnsi="宋体" w:cs="Times New Roman"/>
          <w:color w:val="auto"/>
          <w:sz w:val="24"/>
          <w:highlight w:val="none"/>
          <w:lang w:eastAsia="zh-CN"/>
        </w:rPr>
        <w:t xml:space="preserve">苏州信德咨询有限公司</w:t>
      </w:r>
      <w:r>
        <w:rPr>
          <w:rFonts w:hint="eastAsia" w:ascii="宋体" w:hAnsi="宋体" w:eastAsia="宋体" w:cs="Times New Roman"/>
          <w:color w:val="auto"/>
          <w:sz w:val="24"/>
          <w:highlight w:val="none"/>
        </w:rPr>
        <w:t xml:space="preserve">组织实施的编号为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号的招标活动。代理人在开标、评标、合同谈判过程中所签署的一切文件和处理与这有关的一切事务，我均予以承认。</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代理人无转委托权。特此委托。</w:t>
      </w:r>
      <w:r/>
    </w:p>
    <w:p>
      <w:pPr>
        <w:ind w:firstLine="42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法定代表人：（签字或盖章）</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代理人：（签字或盖章）</w:t>
      </w:r>
      <w:r/>
    </w:p>
    <w:p>
      <w:pPr>
        <w:ind w:firstLine="420"/>
        <w:spacing w:line="360" w:lineRule="auto"/>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 xml:space="preserve">日  期：  年    月     日</w:t>
      </w:r>
      <w:r/>
    </w:p>
    <w:p>
      <w:pPr>
        <w:ind w:firstLine="42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spacing w:line="400" w:lineRule="exact"/>
        <w:rPr>
          <w:rFonts w:ascii="楷体_GB2312" w:eastAsia="楷体_GB2312" w:cs="Times New Roman"/>
          <w:color w:val="auto"/>
          <w:sz w:val="24"/>
          <w:highlight w:val="none"/>
        </w:rPr>
      </w:pPr>
      <w:r>
        <w:rPr>
          <w:rFonts w:ascii="楷体_GB2312" w:eastAsia="楷体_GB2312" w:cs="Times New Roman"/>
          <w:color w:val="auto"/>
          <w:sz w:val="28"/>
          <w:highlight w:val="none"/>
        </w:rPr>
        <w:br w:type="page" w:clear="all"/>
      </w:r>
      <w:r/>
    </w:p>
    <w:p>
      <w:pPr>
        <w:ind w:firstLine="211"/>
        <w:jc w:val="center"/>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numPr>
          <w:ilvl w:val="0"/>
          <w:numId w:val="2"/>
        </w:numPr>
        <w:ind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投标函</w:t>
      </w:r>
      <w:r/>
    </w:p>
    <w:p>
      <w:pPr>
        <w:jc w:val="center"/>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投标函</w:t>
      </w:r>
      <w:r/>
    </w:p>
    <w:p>
      <w:pPr>
        <w:spacing w:line="288"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u w:val="single"/>
          <w:lang w:eastAsia="zh-CN"/>
        </w:rPr>
        <w:t xml:space="preserve">苏州信德咨询有限公司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号招标文件，经仔细阅读和研究，我们同意招标文件中各款要求并决定参加投标。</w:t>
      </w:r>
      <w:r/>
    </w:p>
    <w:p>
      <w:pPr>
        <w:ind w:firstLine="420"/>
        <w:spacing w:line="288" w:lineRule="auto"/>
        <w:tabs>
          <w:tab w:val="left" w:pos="283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1、我们愿意按照招标文件的一切要求，承诺所提供的服务能够至少达到以上要求，同时明确详细的服务方案。</w:t>
      </w:r>
      <w:r>
        <w:rPr>
          <w:rFonts w:hint="eastAsia" w:ascii="宋体" w:hAnsi="宋体" w:eastAsia="宋体" w:cs="宋体"/>
          <w:color w:val="auto"/>
          <w:sz w:val="21"/>
          <w:szCs w:val="21"/>
          <w:highlight w:val="none"/>
          <w:lang w:val="zh-TW"/>
        </w:rPr>
        <w:t xml:space="preserve">报价包括完成本项工作所需的设备、人工（含人员保险费用）、协调费用、利润、税金、管理费、风险费、文件规定政策性费用等所有费用。投标报价为最终报价，除非因特殊原因并经采购双方协商同意，投标人不得再要求追加任何费用。同时，除非合同条款中另有规定，否则，投标人所报价格在合同实施期间不因市场变化因素而变动。</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2、如果我们的投标书被接受，我们将严格履行招标文件中规定的每一项要求，按期、按质、按量履行合同的义务。</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3、我们同意招标文件的各项条款并按招标文件中的规定进行投标。</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4、我们已详细审查全部招标文件，包括更正公告(如有)。我们完全理解并同意放弃对这方面有不明及误解的权力。</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5、我们同意按招标文件中的规定，本投标书的有效期限为投标截止日起</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九</w:t>
      </w:r>
      <w:r>
        <w:rPr>
          <w:rFonts w:hint="eastAsia" w:ascii="宋体" w:hAnsi="宋体" w:eastAsia="宋体" w:cs="宋体"/>
          <w:color w:val="auto"/>
          <w:sz w:val="21"/>
          <w:szCs w:val="21"/>
          <w:highlight w:val="none"/>
          <w:u w:val="single"/>
        </w:rPr>
        <w:t xml:space="preserve">十  </w:t>
      </w:r>
      <w:r>
        <w:rPr>
          <w:rFonts w:hint="eastAsia" w:ascii="宋体" w:hAnsi="宋体" w:eastAsia="宋体" w:cs="宋体"/>
          <w:color w:val="auto"/>
          <w:sz w:val="21"/>
          <w:szCs w:val="21"/>
          <w:highlight w:val="none"/>
        </w:rPr>
        <w:t xml:space="preserve">天。</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6、我们愿意提供采购人或采购代理机构在招标文件中要求的所有资料。</w:t>
      </w:r>
      <w:r/>
    </w:p>
    <w:p>
      <w:pPr>
        <w:ind w:firstLine="420"/>
        <w:jc w:val="left"/>
        <w:spacing w:line="288"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7、我们声明：我们在参加本次政府采购活动前3年内在经营活动中没有重大违法记录。</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8、我们愿意遵守招标公告及招标文件中所列的收费标准。</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9、我们承诺该项投标在开标后的全过程中保持有效，不作任何更改和变动。</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10、我们愿意按招标文件的规定交纳投标保证金，并同意投标人须知中关于不予退还投标保证金的规定。</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11、如果我们中标，我们愿意按招标文件规定支付代理服务费。</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12、我们承诺我公司符合招标文件投标人须知中“合格投标人的一般条件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合格投标人的</w:t>
      </w:r>
      <w:r>
        <w:rPr>
          <w:rFonts w:hint="eastAsia" w:ascii="宋体" w:hAnsi="宋体" w:cs="宋体"/>
          <w:color w:val="auto"/>
          <w:sz w:val="21"/>
          <w:szCs w:val="21"/>
          <w:highlight w:val="none"/>
          <w:lang w:val="en-US" w:eastAsia="zh-CN"/>
        </w:rPr>
        <w:t xml:space="preserve">特殊条件</w:t>
      </w:r>
      <w:r>
        <w:rPr>
          <w:rFonts w:hint="eastAsia" w:ascii="宋体" w:hAnsi="宋体" w:eastAsia="宋体" w:cs="宋体"/>
          <w:color w:val="auto"/>
          <w:sz w:val="21"/>
          <w:szCs w:val="21"/>
          <w:highlight w:val="none"/>
        </w:rPr>
        <w:t xml:space="preserve">”的要求，若与真实情况不符，本公司愿意承担由此而产生的一切后果。</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13、综合说明：</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（1）伴随服务及配合措施；</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（2）要求甲方提供的配合；</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（3）对招标文件有不同意见的偏离说明；</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（4）其它说明。</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联系人：</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邮政编码：</w:t>
      </w:r>
      <w:r/>
    </w:p>
    <w:p>
      <w:pPr>
        <w:ind w:firstLine="420"/>
        <w:spacing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传真：</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numPr>
          <w:ilvl w:val="0"/>
          <w:numId w:val="2"/>
        </w:numPr>
        <w:ind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开标一览表</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开标一览表</w:t>
      </w:r>
      <w:r/>
    </w:p>
    <w:p>
      <w:pPr>
        <w:jc w:val="cente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240"/>
        <w:rPr>
          <w:rFonts w:hint="eastAsia" w:ascii="宋体" w:hAnsi="宋体" w:eastAsia="宋体" w:cs="Times New Roman"/>
          <w:b/>
          <w:color w:val="auto"/>
          <w:sz w:val="24"/>
          <w:highlight w:val="none"/>
          <w:lang w:eastAsia="zh-CN"/>
        </w:rPr>
      </w:pPr>
      <w:r>
        <w:rPr>
          <w:rFonts w:hint="eastAsia" w:ascii="宋体" w:hAnsi="宋体" w:eastAsia="宋体" w:cs="Times New Roman"/>
          <w:color w:val="auto"/>
          <w:sz w:val="24"/>
          <w:highlight w:val="none"/>
        </w:rPr>
        <w:t xml:space="preserve">采购编号：</w:t>
      </w:r>
      <w:r>
        <w:rPr>
          <w:rFonts w:hint="eastAsia" w:ascii="宋体" w:hAnsi="宋体" w:cs="Times New Roman"/>
          <w:color w:val="auto"/>
          <w:sz w:val="24"/>
          <w:highlight w:val="none"/>
          <w:lang w:eastAsia="zh-CN"/>
        </w:rPr>
        <w:t xml:space="preserve">JSZC-320508-XDZJ-G2026-0001</w:t>
      </w:r>
      <w:r/>
    </w:p>
    <w:tbl>
      <w:tblPr>
        <w:tblStyle w:val="694"/>
        <w:tblW w:w="0" w:type="auto"/>
        <w:jc w:val="center"/>
        <w:tblLayout w:type="fixed"/>
        <w:tblCellMar>
          <w:left w:w="0" w:type="dxa"/>
          <w:top w:w="0" w:type="dxa"/>
          <w:right w:w="0" w:type="dxa"/>
          <w:bottom w:w="0" w:type="dxa"/>
        </w:tblCellMar>
        <w:tblLook w:val="04A0" w:firstRow="1" w:lastRow="0" w:firstColumn="1" w:lastColumn="0" w:noHBand="0" w:noVBand="1"/>
      </w:tblPr>
      <w:tblGrid>
        <w:gridCol w:w="2567"/>
        <w:gridCol w:w="7371"/>
      </w:tblGrid>
      <w:tr>
        <w:trPr>
          <w:jc w:val="center"/>
          <w:trHeight w:val="666"/>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67"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项目名称</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tcMar>
            <w:tcW w:w="7371" w:type="dxa"/>
            <w:vAlign w:val="center"/>
            <w:textDirection w:val="lrTb"/>
            <w:noWrap w:val="false"/>
          </w:tcPr>
          <w:p>
            <w:pPr>
              <w:ind w:firstLine="240"/>
              <w:jc w:val="center"/>
              <w:spacing w:line="360" w:lineRule="auto"/>
              <w:widowControl/>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lang w:eastAsia="zh-CN"/>
              </w:rPr>
              <w:t xml:space="preserve">老旧小区视频监控设施维护（2025）</w:t>
            </w:r>
            <w:r/>
          </w:p>
        </w:tc>
      </w:tr>
      <w:tr>
        <w:trPr>
          <w:jc w:val="center"/>
          <w:trHeight w:val="655"/>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67" w:type="dxa"/>
            <w:vAlign w:val="center"/>
            <w:textDirection w:val="lrTb"/>
            <w:noWrap w:val="false"/>
          </w:tcPr>
          <w:p>
            <w:pPr>
              <w:jc w:val="center"/>
              <w:spacing w:line="360" w:lineRule="auto"/>
              <w:widowControl/>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投标总价（元）</w:t>
            </w:r>
            <w:r/>
          </w:p>
        </w:tc>
        <w:tc>
          <w:tcPr>
            <w:tcBorders>
              <w:top w:val="single" w:color="000000" w:sz="8" w:space="0"/>
              <w:left w:val="single" w:color="auto" w:sz="4" w:space="0"/>
              <w:bottom w:val="single" w:color="000000" w:sz="8" w:space="0"/>
              <w:right w:val="single" w:color="auto" w:sz="4" w:space="0"/>
            </w:tcBorders>
            <w:tcMar>
              <w:left w:w="15" w:type="dxa"/>
              <w:top w:w="15" w:type="dxa"/>
              <w:right w:w="15" w:type="dxa"/>
            </w:tcMar>
            <w:tcW w:w="7371" w:type="dxa"/>
            <w:vAlign w:val="center"/>
            <w:textDirection w:val="lrTb"/>
            <w:noWrap w:val="false"/>
          </w:tcPr>
          <w:p>
            <w:pPr>
              <w:ind w:firstLine="96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人民币（大写）：</w:t>
            </w:r>
            <w:r/>
          </w:p>
          <w:p>
            <w:pPr>
              <w:ind w:firstLine="96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人民币（小写）：￥</w:t>
            </w:r>
            <w:r/>
          </w:p>
        </w:tc>
      </w:tr>
      <w:tr>
        <w:trPr>
          <w:jc w:val="center"/>
          <w:trHeight w:val="67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256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hint="eastAsia" w:ascii="宋体" w:hAnsi="宋体" w:eastAsia="宋体" w:cs="宋体"/>
                <w:color w:val="auto"/>
                <w:sz w:val="24"/>
                <w:highlight w:val="none"/>
              </w:rPr>
              <w:t xml:space="preserve">服务期限</w:t>
            </w:r>
            <w:r/>
          </w:p>
        </w:tc>
        <w:tc>
          <w:tcPr>
            <w:tcBorders>
              <w:top w:val="single" w:color="000000" w:sz="8" w:space="0"/>
              <w:left w:val="single" w:color="auto" w:sz="4" w:space="0"/>
              <w:bottom w:val="single" w:color="auto" w:sz="4" w:space="0"/>
              <w:right w:val="single" w:color="auto" w:sz="4" w:space="0"/>
            </w:tcBorders>
            <w:tcMar>
              <w:left w:w="15" w:type="dxa"/>
              <w:top w:w="15" w:type="dxa"/>
              <w:right w:w="15" w:type="dxa"/>
            </w:tcMar>
            <w:tcW w:w="7371" w:type="dxa"/>
            <w:vAlign w:val="center"/>
            <w:textDirection w:val="lrTb"/>
            <w:noWrap w:val="false"/>
          </w:tcPr>
          <w:p>
            <w:pPr>
              <w:ind w:firstLine="24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本项目服务期限为</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叁年。维保时间自</w:t>
            </w:r>
            <w:r>
              <w:rPr>
                <w:rFonts w:hint="eastAsia" w:ascii="宋体" w:hAnsi="宋体" w:cs="Times New Roman"/>
                <w:color w:val="auto"/>
                <w:sz w:val="24"/>
                <w:highlight w:val="none"/>
                <w:lang w:eastAsia="zh-CN"/>
              </w:rPr>
              <w:t xml:space="preserve">2026年1月30日至2029年1月29日</w:t>
            </w:r>
            <w:r>
              <w:rPr>
                <w:rFonts w:hint="eastAsia" w:ascii="宋体" w:hAnsi="宋体" w:eastAsia="宋体" w:cs="Times New Roman"/>
                <w:color w:val="auto"/>
                <w:sz w:val="24"/>
                <w:highlight w:val="none"/>
              </w:rPr>
              <w:t xml:space="preserve">。实际开始时间以上年维保到期并办理好移交手续为准。</w:t>
            </w:r>
            <w:r/>
          </w:p>
        </w:tc>
      </w:tr>
    </w:tbl>
    <w:p>
      <w:pPr>
        <w:ind w:firstLine="520"/>
        <w:jc w:val="left"/>
        <w:spacing w:line="360" w:lineRule="auto"/>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jc w:val="left"/>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br w:type="page" w:clear="all"/>
      </w:r>
      <w:r/>
    </w:p>
    <w:p>
      <w:pPr>
        <w:numPr>
          <w:ilvl w:val="0"/>
          <w:numId w:val="2"/>
        </w:numPr>
        <w:ind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分项报价明细表</w:t>
      </w:r>
      <w:r/>
    </w:p>
    <w:p>
      <w:pPr>
        <w:jc w:val="center"/>
        <w:spacing w:line="400" w:lineRule="exact"/>
        <w:widowControl/>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分项报价明细表</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JSZC-320508-XDZJ-G2026-0001</w:t>
      </w:r>
      <w:r>
        <w:rPr>
          <w:rFonts w:hint="eastAsia" w:ascii="宋体" w:hAnsi="宋体" w:eastAsia="宋体" w:cs="宋体"/>
          <w:color w:val="auto"/>
          <w:sz w:val="24"/>
          <w:highlight w:val="none"/>
        </w:rPr>
        <w:t xml:space="preserve">                                              价格单位：元  </w:t>
      </w:r>
      <w:r/>
    </w:p>
    <w:p>
      <w:pPr>
        <w:pStyle w:val="699"/>
        <w:rPr>
          <w:color w:val="auto"/>
          <w:highlight w:val="none"/>
        </w:rPr>
      </w:pPr>
      <w:r>
        <w:rPr>
          <w:color w:val="auto"/>
          <w:highlight w:val="none"/>
        </w:rPr>
      </w:r>
      <w:r/>
    </w:p>
    <w:tbl>
      <w:tblPr>
        <w:tblStyle w:val="694"/>
        <w:tblW w:w="9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028"/>
        <w:gridCol w:w="1022"/>
        <w:gridCol w:w="1022"/>
        <w:gridCol w:w="1461"/>
        <w:gridCol w:w="1408"/>
        <w:gridCol w:w="1512"/>
      </w:tblGrid>
      <w:tr>
        <w:trPr>
          <w:jc w:val="center"/>
          <w:trHeight w:val="567" w:hRule="exact"/>
        </w:trPr>
        <w:tc>
          <w:tcPr>
            <w:tcW w:w="97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2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46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40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c>
          <w:tcPr>
            <w:tcW w:w="151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hRule="exact"/>
        </w:trPr>
        <w:tc>
          <w:tcPr>
            <w:tcW w:w="97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2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97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2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97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2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97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02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97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97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hRule="exact"/>
        </w:trPr>
        <w:tc>
          <w:tcPr>
            <w:tcW w:w="97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12"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62" w:hRule="exact"/>
        </w:trPr>
        <w:tc>
          <w:tcPr>
            <w:gridSpan w:val="2"/>
            <w:tcW w:w="3003"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合计金额</w:t>
            </w:r>
            <w:r/>
          </w:p>
        </w:tc>
        <w:tc>
          <w:tcPr>
            <w:gridSpan w:val="5"/>
            <w:tcW w:w="6425" w:type="dxa"/>
            <w:vAlign w:val="top"/>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p>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人民币（小写）：￥</w:t>
            </w:r>
            <w:r/>
          </w:p>
        </w:tc>
      </w:tr>
    </w:tbl>
    <w:p>
      <w:pPr>
        <w:ind w:firstLine="480"/>
        <w:jc w:val="left"/>
        <w:spacing w:line="360" w:lineRule="auto"/>
        <w:widowControl/>
        <w:rPr>
          <w:rFonts w:ascii="宋体" w:hAnsi="宋体" w:eastAsia="宋体" w:cs="Times New Roman"/>
          <w:color w:val="auto"/>
          <w:sz w:val="26"/>
          <w:szCs w:val="20"/>
          <w:highlight w:val="none"/>
        </w:rPr>
      </w:pPr>
      <w:r>
        <w:rPr>
          <w:rFonts w:ascii="宋体" w:hAnsi="宋体" w:eastAsia="宋体" w:cs="Times New Roman"/>
          <w:color w:val="auto"/>
          <w:sz w:val="24"/>
          <w:highlight w:val="none"/>
        </w:rPr>
        <w:t xml:space="preserve">注： “分项报价明细表”各分项报价合计金额应当与“</w:t>
      </w:r>
      <w:r>
        <w:rPr>
          <w:rFonts w:hint="eastAsia" w:ascii="宋体" w:hAnsi="宋体" w:eastAsia="宋体" w:cs="Times New Roman"/>
          <w:color w:val="auto"/>
          <w:sz w:val="24"/>
          <w:highlight w:val="none"/>
        </w:rPr>
        <w:t xml:space="preserve">开标</w:t>
      </w:r>
      <w:r>
        <w:rPr>
          <w:rFonts w:ascii="宋体" w:hAnsi="宋体" w:eastAsia="宋体" w:cs="Times New Roman"/>
          <w:color w:val="auto"/>
          <w:sz w:val="24"/>
          <w:highlight w:val="none"/>
        </w:rPr>
        <w:t xml:space="preserve">一览表”</w:t>
      </w:r>
      <w:r>
        <w:rPr>
          <w:rFonts w:hint="eastAsia" w:ascii="宋体" w:hAnsi="宋体" w:eastAsia="宋体" w:cs="Times New Roman"/>
          <w:color w:val="auto"/>
          <w:sz w:val="24"/>
          <w:highlight w:val="none"/>
        </w:rPr>
        <w:t xml:space="preserve">投标</w:t>
      </w:r>
      <w:r>
        <w:rPr>
          <w:rFonts w:ascii="宋体" w:hAnsi="宋体" w:eastAsia="宋体" w:cs="Times New Roman"/>
          <w:color w:val="auto"/>
          <w:sz w:val="24"/>
          <w:highlight w:val="none"/>
        </w:rPr>
        <w:t xml:space="preserve">总价相等，如不相等，以“</w:t>
      </w:r>
      <w:r>
        <w:rPr>
          <w:rFonts w:hint="eastAsia" w:ascii="宋体" w:hAnsi="宋体" w:eastAsia="宋体" w:cs="Times New Roman"/>
          <w:color w:val="auto"/>
          <w:sz w:val="24"/>
          <w:highlight w:val="none"/>
        </w:rPr>
        <w:t xml:space="preserve">开标</w:t>
      </w:r>
      <w:r>
        <w:rPr>
          <w:rFonts w:ascii="宋体" w:hAnsi="宋体" w:eastAsia="宋体" w:cs="Times New Roman"/>
          <w:color w:val="auto"/>
          <w:sz w:val="24"/>
          <w:highlight w:val="none"/>
        </w:rPr>
        <w:t xml:space="preserve">一览表”为准。</w:t>
      </w:r>
      <w:r/>
    </w:p>
    <w:p>
      <w:pPr>
        <w:ind w:firstLine="480"/>
        <w:jc w:val="left"/>
        <w:spacing w:line="360" w:lineRule="auto"/>
        <w:widowControl/>
        <w:rPr>
          <w:rFonts w:ascii="宋体" w:hAnsi="宋体" w:eastAsia="宋体" w:cs="Times New Roman"/>
          <w:color w:val="auto"/>
          <w:sz w:val="26"/>
          <w:szCs w:val="20"/>
          <w:highlight w:val="none"/>
        </w:rPr>
      </w:pPr>
      <w:r>
        <w:rPr>
          <w:rFonts w:hint="eastAsia" w:ascii="宋体" w:hAnsi="宋体" w:eastAsia="宋体" w:cs="Times New Roman"/>
          <w:color w:val="auto"/>
          <w:sz w:val="24"/>
          <w:highlight w:val="none"/>
        </w:rPr>
        <w:t xml:space="preserve">投标人</w:t>
      </w:r>
      <w:r>
        <w:rPr>
          <w:rFonts w:ascii="宋体" w:hAnsi="宋体" w:eastAsia="宋体" w:cs="Times New Roman"/>
          <w:color w:val="auto"/>
          <w:sz w:val="24"/>
          <w:highlight w:val="none"/>
        </w:rPr>
        <w:t xml:space="preserve">：（单位盖章）</w:t>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法定代表人或代理人：（签字或盖章）</w:t>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日期：        年          月     日</w:t>
      </w:r>
      <w:r/>
    </w:p>
    <w:p>
      <w:pPr>
        <w:jc w:val="left"/>
        <w:widowControl/>
        <w:rPr>
          <w:rFonts w:ascii="宋体" w:hAnsi="宋体" w:eastAsia="宋体" w:cs="Times New Roman"/>
          <w:b/>
          <w:color w:val="auto"/>
          <w:sz w:val="26"/>
          <w:szCs w:val="20"/>
          <w:highlight w:val="none"/>
        </w:rPr>
      </w:pPr>
      <w:r>
        <w:rPr>
          <w:rFonts w:hint="eastAsia" w:ascii="宋体" w:hAnsi="宋体" w:eastAsia="宋体" w:cs="Times New Roman"/>
          <w:b/>
          <w:color w:val="auto"/>
          <w:sz w:val="26"/>
          <w:szCs w:val="20"/>
          <w:highlight w:val="none"/>
        </w:rPr>
        <w:br w:type="page" w:clear="all"/>
      </w:r>
      <w:r/>
    </w:p>
    <w:p>
      <w:pPr>
        <w:numPr>
          <w:ilvl w:val="0"/>
          <w:numId w:val="2"/>
        </w:numPr>
        <w:ind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商务条款偏离表</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商务条款偏离表</w:t>
      </w:r>
      <w:r/>
    </w:p>
    <w:p>
      <w:pPr>
        <w:ind w:firstLine="240"/>
        <w:spacing w:line="360" w:lineRule="auto"/>
        <w:rPr>
          <w:rFonts w:ascii="宋体" w:hAnsi="宋体" w:eastAsia="宋体" w:cs="Times New Roman"/>
          <w:color w:val="auto"/>
          <w:sz w:val="26"/>
          <w:highlight w:val="none"/>
        </w:rPr>
      </w:pPr>
      <w:r>
        <w:rPr>
          <w:rFonts w:hint="eastAsia" w:ascii="宋体" w:hAnsi="宋体" w:eastAsia="宋体" w:cs="Times New Roman"/>
          <w:color w:val="auto"/>
          <w:sz w:val="24"/>
          <w:highlight w:val="none"/>
        </w:rPr>
        <w:t xml:space="preserve">单位名称（盖章）：                              采购编号：</w:t>
      </w:r>
      <w:r/>
    </w:p>
    <w:tbl>
      <w:tblPr>
        <w:tblStyle w:val="69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087"/>
        <w:gridCol w:w="2675"/>
        <w:gridCol w:w="2663"/>
        <w:gridCol w:w="862"/>
      </w:tblGrid>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招标文件条目号</w:t>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招标文件的商务条款</w:t>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投标文件的商务条款</w:t>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说明</w:t>
            </w:r>
            <w:r/>
          </w:p>
        </w:tc>
      </w:tr>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54"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08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75"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2663"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862"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投标人的投标文件（除服务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pStyle w:val="699"/>
        <w:rPr>
          <w:rFonts w:ascii="宋体" w:hAnsi="宋体" w:eastAsia="宋体" w:cs="Times New Roman"/>
          <w:color w:val="auto"/>
          <w:sz w:val="24"/>
          <w:highlight w:val="none"/>
        </w:rPr>
      </w:pPr>
      <w:r>
        <w:rPr>
          <w:rFonts w:ascii="宋体" w:hAnsi="宋体" w:eastAsia="宋体" w:cs="Times New Roman"/>
          <w:color w:val="auto"/>
          <w:sz w:val="24"/>
          <w:highlight w:val="none"/>
        </w:rPr>
      </w:r>
      <w:r/>
    </w:p>
    <w:p>
      <w:pPr>
        <w:pStyle w:val="699"/>
        <w:rPr>
          <w:rFonts w:ascii="宋体" w:hAnsi="宋体" w:eastAsia="宋体" w:cs="Times New Roman"/>
          <w:color w:val="auto"/>
          <w:sz w:val="24"/>
          <w:highlight w:val="none"/>
        </w:rPr>
      </w:pPr>
      <w:r>
        <w:rPr>
          <w:rFonts w:ascii="宋体" w:hAnsi="宋体" w:eastAsia="宋体" w:cs="Times New Roman"/>
          <w:color w:val="auto"/>
          <w:sz w:val="24"/>
          <w:highlight w:val="none"/>
        </w:rPr>
      </w:r>
      <w:r/>
    </w:p>
    <w:p>
      <w:pPr>
        <w:numPr>
          <w:ilvl w:val="0"/>
          <w:numId w:val="2"/>
        </w:numPr>
        <w:ind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服务要求偏离表</w:t>
      </w:r>
      <w:r/>
    </w:p>
    <w:p>
      <w:pPr>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jc w:val="center"/>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服务要求偏离表</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单位名称（盖章）：                                   采购编号：</w:t>
      </w:r>
      <w:r/>
    </w:p>
    <w:tbl>
      <w:tblPr>
        <w:tblStyle w:val="694"/>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809"/>
        <w:gridCol w:w="1971"/>
        <w:gridCol w:w="1819"/>
        <w:gridCol w:w="1819"/>
        <w:gridCol w:w="967"/>
      </w:tblGrid>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序号</w:t>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项目</w:t>
            </w:r>
            <w:r>
              <w:rPr>
                <w:rFonts w:ascii="宋体" w:hAnsi="宋体" w:eastAsia="宋体" w:cs="Times New Roman"/>
                <w:color w:val="auto"/>
                <w:sz w:val="24"/>
                <w:highlight w:val="none"/>
              </w:rPr>
              <w:t xml:space="preserve">内容</w:t>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招标要求</w:t>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投标要求</w:t>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偏离/响应</w:t>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说明</w:t>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Pr>
        <w:tc>
          <w:tcPr>
            <w:tcW w:w="76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0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71"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819"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967" w:type="dxa"/>
            <w:vAlign w:val="center"/>
            <w:textDirection w:val="lrTb"/>
            <w:noWrap w:val="false"/>
          </w:tcPr>
          <w:p>
            <w:pPr>
              <w:jc w:val="center"/>
              <w:spacing w:before="156" w:after="156"/>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注：1、投标人应对照招标文件服务要求等要求，所投标的物与招标文件的规定有偏离的，应在此表中申明与服务要求条文的偏差和例外。</w:t>
      </w:r>
      <w:r/>
    </w:p>
    <w:p>
      <w:pPr>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br w:type="page" w:clear="all"/>
      </w:r>
      <w:r/>
    </w:p>
    <w:p>
      <w:pPr>
        <w:numPr>
          <w:ilvl w:val="0"/>
          <w:numId w:val="2"/>
        </w:numPr>
        <w:ind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服务实施方案说明</w:t>
      </w:r>
      <w:r/>
    </w:p>
    <w:p>
      <w:pPr>
        <w:jc w:val="center"/>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服务实施</w:t>
      </w:r>
      <w:r>
        <w:rPr>
          <w:rFonts w:ascii="宋体" w:hAnsi="宋体" w:eastAsia="宋体" w:cs="Times New Roman"/>
          <w:b/>
          <w:bCs/>
          <w:color w:val="auto"/>
          <w:sz w:val="24"/>
          <w:highlight w:val="none"/>
        </w:rPr>
        <w:t xml:space="preserve">方案说明</w:t>
      </w:r>
      <w:r/>
    </w:p>
    <w:p>
      <w:pPr>
        <w:rPr>
          <w:rFonts w:hint="eastAsia" w:ascii="宋体" w:hAnsi="宋体" w:eastAsia="宋体" w:cs="Times New Roman"/>
          <w:b/>
          <w:color w:val="auto"/>
          <w:sz w:val="24"/>
          <w:highlight w:val="none"/>
          <w:lang w:eastAsia="zh-CN"/>
        </w:rPr>
      </w:pPr>
      <w:r>
        <w:rPr>
          <w:rFonts w:hint="eastAsia" w:ascii="宋体" w:hAnsi="宋体" w:eastAsia="宋体" w:cs="Times New Roman"/>
          <w:color w:val="auto"/>
          <w:sz w:val="24"/>
          <w:highlight w:val="none"/>
        </w:rPr>
        <w:t xml:space="preserve"> 采购编号：</w:t>
      </w:r>
      <w:r>
        <w:rPr>
          <w:rFonts w:hint="eastAsia" w:ascii="宋体" w:hAnsi="宋体" w:cs="Times New Roman"/>
          <w:color w:val="auto"/>
          <w:sz w:val="24"/>
          <w:highlight w:val="none"/>
          <w:lang w:eastAsia="zh-CN"/>
        </w:rPr>
        <w:t xml:space="preserve">JSZC-320508-XDZJ-G2026-0001</w:t>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620"/>
        </w:trPr>
        <w:tc>
          <w:tcPr>
            <w:tcW w:w="9726" w:type="dxa"/>
            <w:vAlign w:val="top"/>
            <w:textDirection w:val="lrTb"/>
            <w:noWrap w:val="false"/>
          </w:tcPr>
          <w:p>
            <w:pPr>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提示：</w:t>
            </w:r>
            <w:r/>
          </w:p>
          <w:p>
            <w:pPr>
              <w:ind w:right="240"/>
              <w:jc w:val="left"/>
              <w:widowControl/>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1、投标供应商应根据本次采购项目要求，对所投的</w:t>
            </w:r>
            <w:r>
              <w:rPr>
                <w:rFonts w:hint="eastAsia" w:ascii="宋体" w:hAnsi="宋体" w:cs="Times New Roman"/>
                <w:color w:val="auto"/>
                <w:sz w:val="24"/>
                <w:highlight w:val="none"/>
                <w:lang w:eastAsia="zh-CN"/>
              </w:rPr>
              <w:t xml:space="preserve">老旧小区视频监控设施维护（2025）</w:t>
            </w:r>
            <w:r>
              <w:rPr>
                <w:rFonts w:hint="eastAsia" w:ascii="宋体" w:hAnsi="宋体" w:eastAsia="宋体" w:cs="Times New Roman"/>
                <w:bCs/>
                <w:color w:val="auto"/>
                <w:sz w:val="24"/>
                <w:highlight w:val="none"/>
              </w:rPr>
              <w:t xml:space="preserve">的服务实施方案进行说明与描述。</w:t>
            </w:r>
            <w:r/>
          </w:p>
          <w:p>
            <w:pPr>
              <w:ind w:right="240"/>
              <w:jc w:val="left"/>
              <w:widowControl/>
              <w:rPr>
                <w:rFonts w:ascii="宋体" w:hAnsi="宋体" w:eastAsia="宋体" w:cs="Times New Roman"/>
                <w:color w:val="auto"/>
                <w:sz w:val="24"/>
                <w:highlight w:val="none"/>
              </w:rPr>
            </w:pPr>
            <w:r>
              <w:rPr>
                <w:rFonts w:hint="eastAsia" w:ascii="宋体" w:hAnsi="宋体" w:eastAsia="宋体" w:cs="Times New Roman"/>
                <w:bCs/>
                <w:color w:val="auto"/>
                <w:sz w:val="24"/>
                <w:highlight w:val="none"/>
              </w:rPr>
              <w:t xml:space="preserve">2、投标供应商</w:t>
            </w:r>
            <w:r>
              <w:rPr>
                <w:rFonts w:ascii="宋体" w:hAnsi="宋体" w:eastAsia="宋体" w:cs="Times New Roman"/>
                <w:color w:val="auto"/>
                <w:sz w:val="24"/>
                <w:highlight w:val="none"/>
              </w:rPr>
              <w:t xml:space="preserve">可根据自身情况编写，本页不够可另加页附后。</w:t>
            </w:r>
            <w:r/>
          </w:p>
        </w:tc>
      </w:tr>
      <w:tr>
        <w:trPr>
          <w:jc w:val="center"/>
          <w:trHeight w:val="7709"/>
        </w:trPr>
        <w:tc>
          <w:tcPr>
            <w:tcW w:w="9726" w:type="dxa"/>
            <w:vAlign w:val="top"/>
            <w:textDirection w:val="lrTb"/>
            <w:noWrap w:val="false"/>
          </w:tcPr>
          <w:p>
            <w:pPr>
              <w:ind w:right="240"/>
              <w:jc w:val="left"/>
              <w:spacing w:line="520" w:lineRule="exact"/>
              <w:widowControl/>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bl>
    <w:p>
      <w:pPr>
        <w:jc w:val="left"/>
        <w:spacing w:line="360" w:lineRule="auto"/>
        <w:widowControl/>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p>
      <w:pPr>
        <w:numPr>
          <w:ilvl w:val="0"/>
          <w:numId w:val="2"/>
        </w:numPr>
        <w:ind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拟投入本项目成员信息表</w:t>
      </w:r>
      <w:r/>
    </w:p>
    <w:p>
      <w:pPr>
        <w:jc w:val="center"/>
        <w:spacing w:line="400" w:lineRule="exact"/>
        <w:widowControl/>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拟投入本项目成员信息表</w:t>
      </w:r>
      <w:r/>
    </w:p>
    <w:p>
      <w:pPr>
        <w:jc w:val="left"/>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784"/>
        <w:gridCol w:w="1303"/>
        <w:gridCol w:w="918"/>
        <w:gridCol w:w="918"/>
        <w:gridCol w:w="918"/>
        <w:gridCol w:w="918"/>
        <w:gridCol w:w="1305"/>
      </w:tblGrid>
      <w:tr>
        <w:trPr>
          <w:jc w:val="center"/>
          <w:trHeight w:val="74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项目所任职务</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专业/资格</w:t>
            </w:r>
            <w:r/>
          </w:p>
        </w:tc>
      </w:tr>
      <w:tr>
        <w:trPr>
          <w:jc w:val="center"/>
          <w:trHeight w:val="49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6"/>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r>
    </w:tbl>
    <w:p>
      <w:pPr>
        <w:jc w:val="left"/>
        <w:spacing w:line="400" w:lineRule="exact"/>
        <w:widowControl/>
        <w:rPr>
          <w:rFonts w:ascii="宋体" w:hAnsi="宋体" w:eastAsia="宋体" w:cs="宋体"/>
          <w:b/>
          <w:color w:val="auto"/>
          <w:sz w:val="26"/>
          <w:szCs w:val="21"/>
          <w:highlight w:val="none"/>
        </w:rPr>
      </w:pPr>
      <w:r>
        <w:rPr>
          <w:rFonts w:ascii="宋体" w:hAnsi="宋体" w:eastAsia="宋体" w:cs="宋体"/>
          <w:b/>
          <w:color w:val="auto"/>
          <w:sz w:val="26"/>
          <w:szCs w:val="21"/>
          <w:highlight w:val="none"/>
        </w:rPr>
      </w:r>
      <w:r/>
    </w:p>
    <w:p>
      <w:pPr>
        <w:ind w:firstLine="560"/>
        <w:jc w:val="left"/>
        <w:spacing w:line="360" w:lineRule="auto"/>
        <w:widowControl/>
        <w:rPr>
          <w:rFonts w:ascii="宋体" w:hAnsi="宋体" w:eastAsia="宋体" w:cs="Times New Roman"/>
          <w:color w:val="auto"/>
          <w:spacing w:val="20"/>
          <w:sz w:val="24"/>
          <w:highlight w:val="none"/>
        </w:rPr>
      </w:pPr>
      <w:r>
        <w:rPr>
          <w:rFonts w:ascii="宋体" w:hAnsi="宋体" w:eastAsia="宋体" w:cs="Times New Roman"/>
          <w:color w:val="auto"/>
          <w:spacing w:val="20"/>
          <w:sz w:val="24"/>
          <w:highlight w:val="none"/>
        </w:rPr>
      </w:r>
      <w:r/>
    </w:p>
    <w:p>
      <w:pPr>
        <w:spacing w:line="360" w:lineRule="auto"/>
        <w:rPr>
          <w:rFonts w:ascii="宋体" w:hAnsi="宋体" w:eastAsia="宋体" w:cs="Times New Roman"/>
          <w:b/>
          <w:bCs/>
          <w:color w:val="auto"/>
          <w:sz w:val="24"/>
          <w:highlight w:val="none"/>
        </w:rPr>
      </w:pPr>
      <w:r>
        <w:rPr>
          <w:rFonts w:ascii="宋体" w:hAnsi="宋体" w:eastAsia="宋体" w:cs="Times New Roman"/>
          <w:b/>
          <w:bCs/>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投标人：（盖章）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日期：      年    月    日</w:t>
      </w:r>
      <w:r/>
    </w:p>
    <w:p>
      <w:pPr>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r>
      <w:r/>
    </w:p>
    <w:p>
      <w:pPr>
        <w:spacing w:line="360" w:lineRule="auto"/>
        <w:rPr>
          <w:rFonts w:ascii="宋体" w:hAnsi="宋体" w:eastAsia="宋体" w:cs="宋体"/>
          <w:b/>
          <w:bCs/>
          <w:color w:val="auto"/>
          <w:sz w:val="24"/>
          <w:highlight w:val="none"/>
        </w:rPr>
      </w:pPr>
      <w:r>
        <w:rPr>
          <w:rFonts w:ascii="宋体" w:hAnsi="宋体" w:eastAsia="宋体" w:cs="宋体"/>
          <w:b/>
          <w:bCs/>
          <w:color w:val="auto"/>
          <w:sz w:val="24"/>
          <w:highlight w:val="none"/>
        </w:rPr>
      </w:r>
      <w:r/>
    </w:p>
    <w:p>
      <w:pPr>
        <w:jc w:val="left"/>
        <w:widowControl/>
        <w:rPr>
          <w:rFonts w:ascii="宋体" w:hAnsi="宋体" w:eastAsia="宋体" w:cs="宋体"/>
          <w:b/>
          <w:bCs/>
          <w:color w:val="auto"/>
          <w:sz w:val="24"/>
          <w:szCs w:val="20"/>
          <w:highlight w:val="none"/>
        </w:rPr>
      </w:pPr>
      <w:r>
        <w:rPr>
          <w:rFonts w:ascii="宋体" w:hAnsi="宋体" w:eastAsia="宋体" w:cs="宋体"/>
          <w:b/>
          <w:bCs/>
          <w:color w:val="auto"/>
          <w:sz w:val="26"/>
          <w:szCs w:val="20"/>
          <w:highlight w:val="none"/>
        </w:rPr>
        <w:br w:type="page" w:clear="all"/>
      </w:r>
      <w:r/>
    </w:p>
    <w:p>
      <w:pPr>
        <w:numPr>
          <w:ilvl w:val="0"/>
          <w:numId w:val="2"/>
        </w:numPr>
        <w:ind w:firstLine="420"/>
        <w:rPr>
          <w:rFonts w:ascii="宋体" w:hAnsi="宋体" w:eastAsia="宋体" w:cs="Times New Roman"/>
          <w:b/>
          <w:color w:val="auto"/>
          <w:sz w:val="24"/>
          <w:highlight w:val="none"/>
          <w:lang w:val="zh-TW" w:eastAsia="zh-TW"/>
        </w:rPr>
        <w:outlineLvl w:val="1"/>
      </w:pPr>
      <w:r>
        <w:rPr>
          <w:rFonts w:hint="eastAsia" w:ascii="宋体" w:hAnsi="宋体" w:eastAsia="宋体" w:cs="Times New Roman"/>
          <w:b/>
          <w:color w:val="auto"/>
          <w:sz w:val="24"/>
          <w:highlight w:val="none"/>
        </w:rPr>
        <w:t xml:space="preserve">企业类似业绩一览表</w:t>
      </w:r>
      <w:r/>
    </w:p>
    <w:p>
      <w:pPr>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widowControl/>
        <w:rPr>
          <w:rFonts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企业</w:t>
      </w:r>
      <w:r>
        <w:rPr>
          <w:rFonts w:hint="eastAsia" w:ascii="宋体" w:hAnsi="宋体" w:eastAsia="宋体" w:cs="Times New Roman"/>
          <w:b/>
          <w:bCs/>
          <w:color w:val="auto"/>
          <w:sz w:val="24"/>
          <w:highlight w:val="none"/>
        </w:rPr>
        <w:t xml:space="preserve">类似业绩</w:t>
      </w:r>
      <w:r>
        <w:rPr>
          <w:rFonts w:hint="eastAsia" w:ascii="宋体" w:hAnsi="宋体" w:eastAsia="宋体" w:cs="宋体"/>
          <w:b/>
          <w:bCs/>
          <w:color w:val="auto"/>
          <w:sz w:val="24"/>
          <w:highlight w:val="none"/>
          <w:lang w:val="zh-CN"/>
        </w:rPr>
        <w:t xml:space="preserve">一览表</w:t>
      </w:r>
      <w:r/>
    </w:p>
    <w:p>
      <w:pPr>
        <w:ind w:firstLine="480"/>
        <w:spacing w:line="360" w:lineRule="auto"/>
        <w:rPr>
          <w:rFonts w:ascii="宋体" w:hAnsi="宋体" w:eastAsia="宋体" w:cs="Times New Roman"/>
          <w:color w:val="auto"/>
          <w:sz w:val="24"/>
          <w:highlight w:val="none"/>
          <w:lang w:val="zh-CN"/>
        </w:rPr>
      </w:pPr>
      <w:r>
        <w:rPr>
          <w:rFonts w:ascii="宋体" w:hAnsi="宋体" w:eastAsia="宋体" w:cs="Times New Roman"/>
          <w:color w:val="auto"/>
          <w:sz w:val="24"/>
          <w:highlight w:val="none"/>
          <w:lang w:val="zh-CN"/>
        </w:rPr>
      </w:r>
      <w:r/>
    </w:p>
    <w:tbl>
      <w:tblPr>
        <w:tblStyle w:val="69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43"/>
        <w:gridCol w:w="1807"/>
        <w:gridCol w:w="1651"/>
        <w:gridCol w:w="1650"/>
        <w:gridCol w:w="1925"/>
        <w:gridCol w:w="1316"/>
      </w:tblGrid>
      <w:tr>
        <w:trPr>
          <w:jc w:val="center"/>
          <w:trHeight w:val="1243"/>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序号</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合同名称</w:t>
            </w:r>
            <w:r/>
          </w:p>
        </w:tc>
        <w:tc>
          <w:tcPr>
            <w:tcW w:w="1651" w:type="dxa"/>
            <w:vAlign w:val="center"/>
            <w:textDirection w:val="lrTb"/>
            <w:noWrap w:val="false"/>
          </w:tcPr>
          <w:p>
            <w:pPr>
              <w:jc w:val="center"/>
              <w:spacing w:line="360" w:lineRule="auto"/>
              <w:widowControl/>
              <w:tabs>
                <w:tab w:val="left" w:pos="6252"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业主单位</w:t>
            </w:r>
            <w:r/>
          </w:p>
        </w:tc>
        <w:tc>
          <w:tcPr>
            <w:tcW w:w="1650" w:type="dxa"/>
            <w:vAlign w:val="center"/>
            <w:textDirection w:val="lrTb"/>
            <w:noWrap w:val="false"/>
          </w:tcPr>
          <w:p>
            <w:pPr>
              <w:jc w:val="center"/>
              <w:spacing w:line="360" w:lineRule="auto"/>
              <w:widowControl/>
              <w:tabs>
                <w:tab w:val="left" w:pos="6252" w:leader="none"/>
              </w:tabs>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合同签订</w:t>
            </w:r>
            <w:r/>
          </w:p>
          <w:p>
            <w:pPr>
              <w:jc w:val="center"/>
              <w:spacing w:line="360" w:lineRule="auto"/>
              <w:widowControl/>
              <w:tabs>
                <w:tab w:val="left" w:pos="6252"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时间</w:t>
            </w:r>
            <w:r/>
          </w:p>
        </w:tc>
        <w:tc>
          <w:tcPr>
            <w:tcW w:w="1925" w:type="dxa"/>
            <w:vAlign w:val="center"/>
            <w:textDirection w:val="lrTb"/>
            <w:noWrap w:val="false"/>
          </w:tcPr>
          <w:p>
            <w:pPr>
              <w:jc w:val="center"/>
              <w:spacing w:line="360" w:lineRule="auto"/>
              <w:widowControl/>
              <w:tabs>
                <w:tab w:val="left" w:pos="6252"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合同金额</w:t>
            </w:r>
            <w:r/>
          </w:p>
        </w:tc>
        <w:tc>
          <w:tcPr>
            <w:tcW w:w="1316" w:type="dxa"/>
            <w:vAlign w:val="center"/>
            <w:textDirection w:val="lrTb"/>
            <w:noWrap w:val="false"/>
          </w:tcPr>
          <w:p>
            <w:pPr>
              <w:jc w:val="center"/>
              <w:spacing w:line="360" w:lineRule="auto"/>
              <w:widowControl/>
              <w:tabs>
                <w:tab w:val="left" w:pos="6252"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备注</w:t>
            </w:r>
            <w:r/>
          </w:p>
        </w:tc>
      </w:tr>
      <w:tr>
        <w:trPr>
          <w:jc w:val="center"/>
          <w:trHeight w:val="562" w:hRule="exact"/>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1"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0"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25"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316"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2" w:hRule="exact"/>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2</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1"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0"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25"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316"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2" w:hRule="exact"/>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3</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1"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0"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25"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316"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2" w:hRule="exact"/>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4</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1"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0"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25"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316"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2" w:hRule="exact"/>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5</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1"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0"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25"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316"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2" w:hRule="exact"/>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6</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1"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0"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25"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316"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2" w:hRule="exact"/>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7</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1"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0"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25"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316"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jc w:val="center"/>
          <w:trHeight w:val="562" w:hRule="exact"/>
        </w:trPr>
        <w:tc>
          <w:tcPr>
            <w:tcW w:w="943"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w:t>
            </w:r>
            <w:r/>
          </w:p>
        </w:tc>
        <w:tc>
          <w:tcPr>
            <w:tcW w:w="1807"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1"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650" w:type="dxa"/>
            <w:vAlign w:val="top"/>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925"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316" w:type="dxa"/>
            <w:vAlign w:val="center"/>
            <w:textDirection w:val="lrTb"/>
            <w:noWrap w:val="false"/>
          </w:tcPr>
          <w:p>
            <w:pPr>
              <w:jc w:val="center"/>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p>
      <w:pPr>
        <w:jc w:val="left"/>
        <w:spacing w:before="156"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注：</w:t>
      </w:r>
      <w:r>
        <w:rPr>
          <w:rFonts w:hint="eastAsia" w:ascii="宋体" w:hAnsi="宋体" w:eastAsia="宋体" w:cs="Times New Roman"/>
          <w:color w:val="auto"/>
          <w:sz w:val="24"/>
          <w:highlight w:val="none"/>
        </w:rPr>
        <w:t xml:space="preserve">具体须提供材料详见评审办法要求</w:t>
      </w:r>
      <w:r>
        <w:rPr>
          <w:rFonts w:ascii="宋体" w:hAnsi="宋体" w:eastAsia="宋体" w:cs="Times New Roman"/>
          <w:color w:val="auto"/>
          <w:sz w:val="24"/>
          <w:highlight w:val="none"/>
        </w:rPr>
        <w:t xml:space="preserve">。</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spacing w:line="360" w:lineRule="auto"/>
        <w:rPr>
          <w:rFonts w:ascii="宋体" w:hAnsi="宋体" w:eastAsia="宋体" w:cs="Times New Roman"/>
          <w:b/>
          <w:color w:val="auto"/>
          <w:sz w:val="24"/>
          <w:highlight w:val="none"/>
        </w:rPr>
      </w:pPr>
      <w:r>
        <w:rPr>
          <w:rFonts w:hint="eastAsia" w:ascii="宋体" w:hAnsi="宋体" w:eastAsia="宋体" w:cs="Times New Roman"/>
          <w:color w:val="auto"/>
          <w:sz w:val="24"/>
          <w:highlight w:val="none"/>
        </w:rPr>
        <w:t xml:space="preserve">日期：   年   月   日</w:t>
      </w:r>
      <w:r/>
    </w:p>
    <w:p>
      <w:pPr>
        <w:jc w:val="center"/>
        <w:spacing w:line="360" w:lineRule="auto"/>
        <w:widowControl/>
        <w:rPr>
          <w:rFonts w:ascii="宋体" w:hAnsi="宋体" w:eastAsia="宋体" w:cs="Times New Roman"/>
          <w:b/>
          <w:color w:val="auto"/>
          <w:sz w:val="26"/>
          <w:szCs w:val="20"/>
          <w:highlight w:val="none"/>
        </w:rPr>
      </w:pPr>
      <w:r>
        <w:rPr>
          <w:rFonts w:ascii="宋体" w:hAnsi="宋体" w:eastAsia="宋体" w:cs="Times New Roman"/>
          <w:b/>
          <w:color w:val="auto"/>
          <w:sz w:val="26"/>
          <w:szCs w:val="20"/>
          <w:highlight w:val="none"/>
        </w:rPr>
      </w:r>
      <w:r/>
    </w:p>
    <w:p>
      <w:pPr>
        <w:jc w:val="left"/>
        <w:spacing w:line="48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48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480" w:lineRule="auto"/>
        <w:widowControl/>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widowControl/>
        <w:rPr>
          <w:rFonts w:ascii="宋体" w:hAnsi="宋体" w:eastAsia="宋体" w:cs="Times New Roman"/>
          <w:b/>
          <w:color w:val="auto"/>
          <w:sz w:val="24"/>
          <w:highlight w:val="none"/>
        </w:rPr>
      </w:pPr>
      <w:r>
        <w:rPr>
          <w:rFonts w:ascii="宋体" w:hAnsi="宋体" w:eastAsia="宋体" w:cs="Times New Roman"/>
          <w:b/>
          <w:color w:val="auto"/>
          <w:sz w:val="24"/>
          <w:highlight w:val="none"/>
        </w:rPr>
        <w:br w:type="page" w:clear="all"/>
      </w:r>
      <w:r/>
    </w:p>
    <w:p>
      <w:pPr>
        <w:numPr>
          <w:ilvl w:val="0"/>
          <w:numId w:val="2"/>
        </w:numPr>
        <w:ind w:firstLine="420"/>
        <w:rPr>
          <w:rFonts w:ascii="宋体" w:hAnsi="宋体" w:eastAsia="宋体" w:cs="Times New Roman"/>
          <w:b/>
          <w:color w:val="auto"/>
          <w:sz w:val="24"/>
          <w:highlight w:val="none"/>
        </w:rPr>
        <w:outlineLvl w:val="1"/>
      </w:pPr>
      <w:r>
        <w:rPr>
          <w:rFonts w:hint="eastAsia" w:ascii="宋体" w:hAnsi="宋体" w:eastAsia="宋体" w:cs="Times New Roman"/>
          <w:b/>
          <w:color w:val="auto"/>
          <w:sz w:val="24"/>
          <w:highlight w:val="none"/>
        </w:rPr>
        <w:t xml:space="preserve">资格证明文件</w:t>
      </w:r>
      <w:r/>
    </w:p>
    <w:p>
      <w:pPr>
        <w:spacing w:line="360" w:lineRule="auto"/>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numPr>
          <w:ilvl w:val="0"/>
          <w:numId w:val="0"/>
        </w:numPr>
        <w:ind w:left="0" w:firstLine="420"/>
        <w:spacing w:line="360" w:lineRule="auto"/>
        <w:rPr>
          <w:rFonts w:ascii="宋体" w:hAnsi="宋体" w:eastAsia="宋体" w:cs="Times New Roman"/>
          <w:b/>
          <w:color w:val="auto"/>
          <w:sz w:val="24"/>
          <w:highlight w:val="none"/>
        </w:rPr>
        <w:outlineLvl w:val="2"/>
      </w:pPr>
      <w:r>
        <w:rPr>
          <w:rFonts w:hint="eastAsia" w:ascii="宋体" w:hAnsi="宋体" w:eastAsia="宋体" w:cs="Times New Roman"/>
          <w:b/>
          <w:color w:val="auto"/>
          <w:sz w:val="24"/>
          <w:szCs w:val="24"/>
          <w:lang w:val="en-US" w:eastAsia="zh-CN" w:bidi="ar-SA"/>
        </w:rPr>
        <w:t xml:space="preserve">（1）</w:t>
      </w:r>
      <w:r>
        <w:rPr>
          <w:rFonts w:hint="eastAsia" w:ascii="宋体" w:hAnsi="宋体" w:eastAsia="宋体" w:cs="Times New Roman"/>
          <w:b/>
          <w:color w:val="auto"/>
          <w:sz w:val="24"/>
          <w:highlight w:val="none"/>
        </w:rPr>
        <w:t xml:space="preserve">关于资格文件的声明函</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关于资格文件的声明函</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line="360" w:lineRule="auto"/>
        <w:rPr>
          <w:rFonts w:ascii="宋体" w:hAnsi="宋体" w:eastAsia="宋体" w:cs="Times New Roman"/>
          <w:color w:val="auto"/>
          <w:sz w:val="24"/>
          <w:highlight w:val="none"/>
        </w:rPr>
      </w:pPr>
      <w:r>
        <w:rPr>
          <w:rFonts w:hint="eastAsia" w:ascii="宋体" w:hAnsi="宋体" w:cs="Times New Roman"/>
          <w:color w:val="auto"/>
          <w:sz w:val="24"/>
          <w:highlight w:val="none"/>
          <w:u w:val="single"/>
          <w:lang w:eastAsia="zh-CN"/>
        </w:rPr>
        <w:t xml:space="preserve">苏州信德咨询有限公司</w:t>
      </w:r>
      <w:r>
        <w:rPr>
          <w:rFonts w:hint="eastAsia" w:ascii="宋体" w:hAnsi="宋体" w:eastAsia="宋体" w:cs="Times New Roman"/>
          <w:color w:val="auto"/>
          <w:sz w:val="24"/>
          <w:highlight w:val="none"/>
        </w:rPr>
        <w:t xml:space="preserve">：</w:t>
      </w:r>
      <w:r/>
    </w:p>
    <w:p>
      <w:pPr>
        <w:ind w:firstLine="480"/>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highlight w:val="none"/>
        </w:rPr>
        <w:t xml:space="preserve">本公司愿就由贵公司组织实施的编号为</w:t>
      </w:r>
      <w:r>
        <w:rPr>
          <w:rFonts w:hint="eastAsia" w:ascii="宋体" w:hAnsi="宋体" w:cs="Times New Roman"/>
          <w:color w:val="auto"/>
          <w:sz w:val="24"/>
          <w:highlight w:val="none"/>
          <w:u w:val="single"/>
          <w:lang w:eastAsia="zh-CN"/>
        </w:rPr>
        <w:t xml:space="preserve">JSZC-320508-XDZJ-G2026-0001</w:t>
      </w:r>
      <w:r>
        <w:rPr>
          <w:rFonts w:hint="eastAsia" w:ascii="宋体" w:hAnsi="宋体" w:eastAsia="宋体" w:cs="Times New Roman"/>
          <w:color w:val="auto"/>
          <w:sz w:val="24"/>
          <w:highlight w:val="none"/>
        </w:rPr>
        <w:t xml:space="preserve">号的招标活动进行投</w:t>
      </w:r>
      <w:r>
        <w:rPr>
          <w:rFonts w:hint="eastAsia" w:ascii="宋体" w:hAnsi="宋体" w:eastAsia="宋体" w:cs="Times New Roman"/>
          <w:color w:val="auto"/>
          <w:sz w:val="24"/>
          <w:szCs w:val="22"/>
          <w:highlight w:val="none"/>
        </w:rPr>
        <w:t xml:space="preserve">标。</w:t>
      </w:r>
      <w:r/>
    </w:p>
    <w:p>
      <w:pPr>
        <w:ind w:firstLine="480"/>
        <w:spacing w:line="360" w:lineRule="auto"/>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投标人：（单位盖章）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spacing w:line="400" w:lineRule="exact"/>
        <w:rPr>
          <w:rFonts w:ascii="楷体_GB2312" w:eastAsia="楷体_GB2312" w:cs="Times New Roman"/>
          <w:color w:val="auto"/>
          <w:sz w:val="28"/>
          <w:highlight w:val="none"/>
        </w:rPr>
      </w:pPr>
      <w:r>
        <w:rPr>
          <w:rFonts w:ascii="楷体_GB2312" w:eastAsia="楷体_GB2312" w:cs="Times New Roman"/>
          <w:color w:val="auto"/>
          <w:sz w:val="28"/>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hint="eastAsia"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r>
      <w:r/>
    </w:p>
    <w:p>
      <w:pPr>
        <w:numPr>
          <w:ilvl w:val="0"/>
          <w:numId w:val="0"/>
        </w:numPr>
        <w:ind w:left="0" w:firstLine="420"/>
        <w:spacing w:line="360" w:lineRule="auto"/>
        <w:rPr>
          <w:rFonts w:ascii="宋体" w:hAnsi="宋体" w:eastAsia="宋体" w:cs="Times New Roman"/>
          <w:b/>
          <w:color w:val="auto"/>
          <w:sz w:val="24"/>
          <w:highlight w:val="none"/>
        </w:rPr>
        <w:outlineLvl w:val="2"/>
      </w:pPr>
      <w:r>
        <w:rPr>
          <w:rFonts w:hint="eastAsia" w:ascii="宋体" w:hAnsi="宋体" w:eastAsia="宋体" w:cs="Times New Roman"/>
          <w:b/>
          <w:color w:val="auto"/>
          <w:sz w:val="24"/>
          <w:highlight w:val="none"/>
        </w:rPr>
        <w:t xml:space="preserve">（2）投标人情况表</w:t>
      </w:r>
      <w:r/>
    </w:p>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投标人情况表</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单位名称（盖章）：</w:t>
      </w:r>
      <w:r/>
    </w:p>
    <w:tbl>
      <w:tblPr>
        <w:tblStyle w:val="69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46"/>
        <w:gridCol w:w="2034"/>
        <w:gridCol w:w="1481"/>
        <w:gridCol w:w="2085"/>
        <w:gridCol w:w="917"/>
      </w:tblGrid>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w:t>
            </w:r>
            <w:r/>
          </w:p>
        </w:tc>
        <w:tc>
          <w:tcPr>
            <w:tcW w:w="2034"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481"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成立日期</w:t>
            </w:r>
            <w:r/>
          </w:p>
        </w:tc>
        <w:tc>
          <w:tcPr>
            <w:gridSpan w:val="2"/>
            <w:tcW w:w="3002"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企业地址</w:t>
            </w:r>
            <w:r/>
          </w:p>
        </w:tc>
        <w:tc>
          <w:tcPr>
            <w:tcW w:w="2034"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1481"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注册资本</w:t>
            </w:r>
            <w:r/>
          </w:p>
        </w:tc>
        <w:tc>
          <w:tcPr>
            <w:gridSpan w:val="2"/>
            <w:tcW w:w="3002" w:type="dxa"/>
            <w:vAlign w:val="top"/>
            <w:textDirection w:val="lrTb"/>
            <w:noWrap w:val="false"/>
          </w:tcPr>
          <w:p>
            <w:pPr>
              <w:ind w:firstLine="216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万元</w:t>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经营范围</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职工人数</w:t>
            </w:r>
            <w:r/>
          </w:p>
        </w:tc>
        <w:tc>
          <w:tcPr>
            <w:tcW w:w="2034"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gridSpan w:val="2"/>
            <w:tcW w:w="356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其中：有中高级以上职称的人数</w:t>
            </w:r>
            <w:r/>
          </w:p>
        </w:tc>
        <w:tc>
          <w:tcPr>
            <w:tcW w:w="9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资产总计</w:t>
            </w:r>
            <w:r/>
          </w:p>
        </w:tc>
        <w:tc>
          <w:tcPr>
            <w:tcW w:w="2034"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r/>
          </w:p>
        </w:tc>
        <w:tc>
          <w:tcPr>
            <w:tcW w:w="1481"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净资产</w:t>
            </w:r>
            <w:r/>
          </w:p>
        </w:tc>
        <w:tc>
          <w:tcPr>
            <w:gridSpan w:val="2"/>
            <w:tcW w:w="3002"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r/>
          </w:p>
        </w:tc>
      </w:tr>
      <w:tr>
        <w:trPr>
          <w:cantSplit/>
        </w:trPr>
        <w:tc>
          <w:tcPr>
            <w:tcW w:w="2546"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股东权益</w:t>
            </w:r>
            <w:r/>
          </w:p>
        </w:tc>
        <w:tc>
          <w:tcPr>
            <w:tcW w:w="2034"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万元</w:t>
            </w:r>
            <w:r/>
          </w:p>
        </w:tc>
        <w:tc>
          <w:tcPr>
            <w:tcW w:w="1481"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销售收入</w:t>
            </w:r>
            <w:r/>
          </w:p>
        </w:tc>
        <w:tc>
          <w:tcPr>
            <w:gridSpan w:val="2"/>
            <w:tcW w:w="3002" w:type="dxa"/>
            <w:vAlign w:val="center"/>
            <w:textDirection w:val="lrTb"/>
            <w:noWrap w:val="false"/>
          </w:tcPr>
          <w:p>
            <w:pPr>
              <w:jc w:val="cente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202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年          万元</w:t>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实现利润</w:t>
            </w:r>
            <w:r/>
          </w:p>
        </w:tc>
        <w:tc>
          <w:tcPr>
            <w:tcW w:w="2034"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202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年   万元</w:t>
            </w:r>
            <w:r/>
          </w:p>
        </w:tc>
        <w:tc>
          <w:tcPr>
            <w:tcW w:w="1481"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gridSpan w:val="2"/>
            <w:tcW w:w="3002"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营业面积（含厂房面积）</w:t>
            </w:r>
            <w:r/>
          </w:p>
        </w:tc>
        <w:tc>
          <w:tcPr>
            <w:tcW w:w="2034" w:type="dxa"/>
            <w:vAlign w:val="center"/>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平方米</w:t>
            </w:r>
            <w:r/>
          </w:p>
        </w:tc>
        <w:tc>
          <w:tcPr>
            <w:tcW w:w="1481"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其中：</w:t>
            </w:r>
            <w:r/>
          </w:p>
        </w:tc>
        <w:tc>
          <w:tcPr>
            <w:gridSpan w:val="2"/>
            <w:tcW w:w="3002"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自有面积     平方米</w:t>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承租面积     平方米</w:t>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单位简历及内设机构情况</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单位优势及特长</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近三年来完成或正在履行的重大合同情况</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最近3年内在经营过程中受到何种奖励或处分（包括情况和结果）</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最近</w:t>
            </w: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年内有无因售假、售劣或是其他原因被消费者投诉或起诉的情况及说明（包括解决方式和结果）</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最近</w:t>
            </w:r>
            <w:r>
              <w:rPr>
                <w:rFonts w:ascii="宋体" w:hAnsi="宋体" w:eastAsia="宋体" w:cs="Times New Roman"/>
                <w:color w:val="auto"/>
                <w:sz w:val="24"/>
                <w:highlight w:val="none"/>
              </w:rPr>
              <w:t xml:space="preserve">3</w:t>
            </w:r>
            <w:r>
              <w:rPr>
                <w:rFonts w:hint="eastAsia" w:ascii="宋体" w:hAnsi="宋体" w:eastAsia="宋体" w:cs="Times New Roman"/>
                <w:color w:val="auto"/>
                <w:sz w:val="24"/>
                <w:highlight w:val="none"/>
              </w:rPr>
              <w:t xml:space="preserve">年内主要负责人有无因经济犯罪被司法机关追究的情况及说明</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获得技术认证的工程师及简介</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cantSplit/>
          <w:trHeight w:val="560"/>
        </w:trPr>
        <w:tc>
          <w:tcPr>
            <w:tcW w:w="2546"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其他需要说明的情况</w:t>
            </w:r>
            <w:r/>
          </w:p>
        </w:tc>
        <w:tc>
          <w:tcPr>
            <w:gridSpan w:val="4"/>
            <w:tcW w:w="6517" w:type="dxa"/>
            <w:vAlign w:val="top"/>
            <w:textDirection w:val="lrTb"/>
            <w:noWrap w:val="false"/>
          </w:tcPr>
          <w:p>
            <w:pPr>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rPr>
          <w:rFonts w:ascii="宋体" w:hAnsi="宋体" w:eastAsia="宋体" w:cs="Times New Roman"/>
          <w:b/>
          <w:color w:val="auto"/>
          <w:sz w:val="24"/>
          <w:highlight w:val="none"/>
        </w:rPr>
      </w:pPr>
      <w:r>
        <w:rPr>
          <w:rFonts w:ascii="宋体" w:hAnsi="宋体" w:eastAsia="宋体" w:cs="Times New Roman"/>
          <w:b/>
          <w:color w:val="auto"/>
          <w:sz w:val="24"/>
          <w:highlight w:val="none"/>
        </w:rPr>
      </w:r>
      <w:r/>
    </w:p>
    <w:p>
      <w:pPr>
        <w:ind w:firstLine="1073"/>
        <w:jc w:val="left"/>
        <w:widowControl/>
        <w:rPr>
          <w:rFonts w:eastAsia="楷体_GB2312" w:cs="Times New Roman"/>
          <w:color w:val="auto"/>
          <w:sz w:val="26"/>
          <w:szCs w:val="20"/>
          <w:highlight w:val="none"/>
        </w:rPr>
      </w:pPr>
      <w:r>
        <w:rPr>
          <w:rFonts w:eastAsia="楷体_GB2312" w:cs="Times New Roman"/>
          <w:color w:val="auto"/>
          <w:sz w:val="26"/>
          <w:szCs w:val="20"/>
          <w:highlight w:val="none"/>
        </w:rPr>
        <w:br w:type="page" w:clear="all"/>
      </w:r>
      <w:r/>
    </w:p>
    <w:p>
      <w:pPr>
        <w:numPr>
          <w:ilvl w:val="0"/>
          <w:numId w:val="0"/>
        </w:numPr>
        <w:ind w:left="0" w:firstLine="420"/>
        <w:spacing w:line="360" w:lineRule="auto"/>
        <w:rPr>
          <w:rFonts w:ascii="宋体" w:hAnsi="宋体" w:eastAsia="宋体" w:cs="Times New Roman"/>
          <w:b/>
          <w:color w:val="auto"/>
          <w:sz w:val="24"/>
          <w:highlight w:val="none"/>
        </w:rPr>
        <w:outlineLvl w:val="2"/>
      </w:pPr>
      <w:r>
        <w:rPr>
          <w:rFonts w:hint="eastAsia" w:ascii="宋体" w:hAnsi="宋体" w:eastAsia="宋体" w:cs="Times New Roman"/>
          <w:b/>
          <w:color w:val="auto"/>
          <w:sz w:val="24"/>
          <w:szCs w:val="24"/>
          <w:lang w:val="en-US" w:eastAsia="zh-CN" w:bidi="ar-SA"/>
        </w:rPr>
        <w:t xml:space="preserve">（3）</w:t>
      </w:r>
      <w:r>
        <w:rPr>
          <w:rFonts w:hint="eastAsia" w:ascii="宋体" w:hAnsi="宋体" w:eastAsia="宋体" w:cs="Times New Roman"/>
          <w:b/>
          <w:color w:val="auto"/>
          <w:sz w:val="24"/>
          <w:highlight w:val="none"/>
        </w:rPr>
        <w:t xml:space="preserve">中小企业声明函</w:t>
      </w:r>
      <w:r/>
    </w:p>
    <w:p>
      <w:pPr>
        <w:jc w:val="center"/>
        <w:spacing w:line="360" w:lineRule="auto"/>
        <w:widowControl/>
        <w:rPr>
          <w:rFonts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中小企业声明函</w:t>
      </w:r>
      <w:r/>
    </w:p>
    <w:p>
      <w:pPr>
        <w:spacing w:line="360" w:lineRule="auto"/>
        <w:rPr>
          <w:rFonts w:ascii="宋体" w:hAnsi="宋体" w:eastAsia="宋体" w:cs="宋体"/>
          <w:color w:val="auto"/>
          <w:sz w:val="24"/>
          <w:highlight w:val="none"/>
          <w:lang w:val="zh-CN"/>
        </w:rPr>
      </w:pPr>
      <w:r>
        <w:rPr>
          <w:rFonts w:hint="eastAsia" w:ascii="宋体" w:hAnsi="宋体" w:cs="宋体"/>
          <w:color w:val="auto"/>
          <w:sz w:val="24"/>
          <w:highlight w:val="none"/>
          <w:u w:val="single"/>
          <w:lang w:val="zh-CN"/>
        </w:rPr>
        <w:t xml:space="preserve">苏州信德咨询有限公司</w:t>
      </w:r>
      <w:r>
        <w:rPr>
          <w:rFonts w:hint="eastAsia" w:ascii="宋体" w:hAnsi="宋体" w:eastAsia="宋体" w:cs="宋体"/>
          <w:color w:val="auto"/>
          <w:sz w:val="24"/>
          <w:highlight w:val="none"/>
          <w:u w:val="single"/>
          <w:lang w:val="zh-CN"/>
        </w:rPr>
        <w:t xml:space="preserve"> </w:t>
      </w:r>
      <w:r>
        <w:rPr>
          <w:rFonts w:ascii="宋体" w:hAnsi="宋体" w:eastAsia="宋体" w:cs="宋体"/>
          <w:color w:val="auto"/>
          <w:sz w:val="24"/>
          <w:highlight w:val="none"/>
          <w:lang w:val="zh-CN"/>
        </w:rPr>
        <w:t xml:space="preserve">：</w:t>
      </w:r>
      <w:r/>
    </w:p>
    <w:p>
      <w:pPr>
        <w:ind w:firstLine="480"/>
        <w:jc w:val="left"/>
        <w:spacing w:line="360" w:lineRule="auto"/>
        <w:widowControl/>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采购活动，服务全部由符合政策要求的中小企业承接。相关企业的具体情况如下：</w:t>
      </w:r>
      <w:r/>
    </w:p>
    <w:p>
      <w:pPr>
        <w:numPr>
          <w:ilvl w:val="0"/>
          <w:numId w:val="3"/>
        </w:numPr>
        <w:ind w:firstLine="4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u w:val="single"/>
          <w:lang w:val="zh-CN"/>
        </w:rPr>
        <w:t xml:space="preserve">（标的名称）</w:t>
      </w:r>
      <w:r>
        <w:rPr>
          <w:rFonts w:hint="eastAsia" w:ascii="宋体" w:hAnsi="宋体" w:eastAsia="宋体" w:cs="宋体"/>
          <w:color w:val="auto"/>
          <w:sz w:val="24"/>
          <w:highlight w:val="none"/>
          <w:lang w:val="zh-CN"/>
        </w:rPr>
        <w:t xml:space="preserve">，属于</w:t>
      </w:r>
      <w:r>
        <w:rPr>
          <w:rFonts w:hint="eastAsia" w:ascii="宋体" w:hAnsi="宋体" w:eastAsia="宋体" w:cs="宋体"/>
          <w:color w:val="auto"/>
          <w:sz w:val="24"/>
          <w:highlight w:val="none"/>
          <w:u w:val="single"/>
          <w:lang w:val="zh-CN"/>
        </w:rPr>
        <w:t xml:space="preserve">软件和信息技术服务业</w:t>
      </w:r>
      <w:r>
        <w:rPr>
          <w:rFonts w:hint="eastAsia" w:ascii="宋体" w:hAnsi="宋体" w:eastAsia="宋体" w:cs="宋体"/>
          <w:color w:val="auto"/>
          <w:sz w:val="24"/>
          <w:highlight w:val="none"/>
          <w:lang w:val="zh-CN"/>
        </w:rPr>
        <w:t xml:space="preserve">；承接企业为</w:t>
      </w:r>
      <w:r>
        <w:rPr>
          <w:rFonts w:hint="eastAsia" w:ascii="宋体" w:hAnsi="宋体" w:eastAsia="宋体" w:cs="宋体"/>
          <w:color w:val="auto"/>
          <w:sz w:val="24"/>
          <w:highlight w:val="none"/>
          <w:u w:val="single"/>
          <w:lang w:val="zh-CN"/>
        </w:rPr>
        <w:t xml:space="preserve">（企业名称）</w:t>
      </w:r>
      <w:r>
        <w:rPr>
          <w:rFonts w:hint="eastAsia" w:ascii="宋体" w:hAnsi="宋体" w:eastAsia="宋体" w:cs="宋体"/>
          <w:color w:val="auto"/>
          <w:sz w:val="24"/>
          <w:highlight w:val="none"/>
          <w:lang w:val="zh-CN"/>
        </w:rPr>
        <w:t xml:space="preserve">，从业人员____人，营业收入为____万元，资产总额为____万元，属于</w:t>
      </w:r>
      <w:r>
        <w:rPr>
          <w:rFonts w:hint="eastAsia" w:ascii="宋体" w:hAnsi="宋体" w:eastAsia="宋体" w:cs="宋体"/>
          <w:color w:val="auto"/>
          <w:sz w:val="24"/>
          <w:highlight w:val="none"/>
          <w:u w:val="single"/>
          <w:lang w:val="zh-CN"/>
        </w:rPr>
        <w:t xml:space="preserve">（中型企业、小型企业、微型企业）</w:t>
      </w:r>
      <w:r>
        <w:rPr>
          <w:rFonts w:hint="eastAsia" w:ascii="宋体" w:hAnsi="宋体" w:eastAsia="宋体" w:cs="宋体"/>
          <w:color w:val="auto"/>
          <w:sz w:val="24"/>
          <w:highlight w:val="none"/>
          <w:lang w:val="zh-CN"/>
        </w:rPr>
        <w:t xml:space="preserve">；</w:t>
      </w:r>
      <w:r/>
    </w:p>
    <w:p>
      <w:pPr>
        <w:ind w:firstLine="4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本企业对上述声明内容的真实性负责。如有虚假，将依法承担相应责任。</w:t>
      </w:r>
      <w:r/>
    </w:p>
    <w:p>
      <w:pPr>
        <w:ind w:firstLine="52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企业名称（盖章）：</w:t>
      </w:r>
      <w:r/>
    </w:p>
    <w:p>
      <w:pPr>
        <w:ind w:firstLine="52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 期：</w:t>
      </w:r>
      <w:r/>
    </w:p>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spacing w:line="360" w:lineRule="auto"/>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宋体" w:hAnsi="宋体" w:eastAsia="宋体" w:cs="宋体"/>
          <w:color w:val="auto"/>
          <w:szCs w:val="21"/>
          <w:highlight w:val="none"/>
        </w:rPr>
      </w:pPr>
      <w:r>
        <w:rPr>
          <w:rFonts w:ascii="宋体" w:hAnsi="宋体" w:eastAsia="宋体" w:cs="宋体"/>
          <w:color w:val="auto"/>
          <w:szCs w:val="21"/>
          <w:highlight w:val="none"/>
        </w:rPr>
      </w:r>
      <w:r/>
    </w:p>
    <w:p>
      <w:pPr>
        <w:jc w:val="left"/>
        <w:widowControl/>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ind w:left="420" w:firstLine="520"/>
        <w:spacing w:after="120"/>
        <w:rPr>
          <w:rFonts w:ascii="宋体" w:hAnsi="宋体" w:eastAsia="宋体" w:cs="Times New Roman"/>
          <w:color w:val="auto"/>
          <w:sz w:val="26"/>
          <w:highlight w:val="none"/>
        </w:rPr>
      </w:pPr>
      <w:r>
        <w:rPr>
          <w:rFonts w:ascii="宋体" w:hAnsi="宋体" w:eastAsia="宋体" w:cs="Times New Roman"/>
          <w:color w:val="auto"/>
          <w:sz w:val="26"/>
          <w:highlight w:val="none"/>
        </w:rPr>
      </w:r>
      <w:r/>
    </w:p>
    <w:p>
      <w:pPr>
        <w:ind w:firstLine="210"/>
        <w:spacing w:after="120"/>
        <w:rPr>
          <w:rFonts w:ascii="宋体" w:hAnsi="宋体" w:eastAsia="宋体" w:cs="Times New Roman"/>
          <w:color w:val="auto"/>
          <w:highlight w:val="none"/>
        </w:rPr>
      </w:pPr>
      <w:r>
        <w:rPr>
          <w:rFonts w:ascii="宋体" w:hAnsi="宋体" w:eastAsia="宋体" w:cs="Times New Roman"/>
          <w:color w:val="auto"/>
          <w:highlight w:val="none"/>
        </w:rPr>
      </w:r>
      <w:r/>
    </w:p>
    <w:p>
      <w:pPr>
        <w:ind w:firstLine="210"/>
        <w:spacing w:after="120"/>
        <w:rPr>
          <w:rFonts w:ascii="宋体" w:hAnsi="宋体" w:eastAsia="宋体" w:cs="Times New Roman"/>
          <w:color w:val="auto"/>
          <w:highlight w:val="none"/>
        </w:rPr>
      </w:pPr>
      <w:r>
        <w:rPr>
          <w:rFonts w:ascii="宋体" w:hAnsi="宋体" w:eastAsia="宋体" w:cs="Times New Roman"/>
          <w:color w:val="auto"/>
          <w:highlight w:val="none"/>
        </w:rPr>
      </w:r>
      <w:r/>
    </w:p>
    <w:p>
      <w:pPr>
        <w:ind w:firstLine="420"/>
        <w:spacing w:after="12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注：1</w:t>
      </w:r>
      <w:r>
        <w:rPr>
          <w:rFonts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不同行业的中小微企业划分标准以工信部、国家统计局、国家发改委、财政部《关于印发中小企业划型标准规定的通知》（工信部联企业[2011]300号）为准。</w:t>
      </w:r>
      <w:r/>
    </w:p>
    <w:p>
      <w:pPr>
        <w:ind w:firstLine="420"/>
        <w:jc w:val="lef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2.中小微企业在投标文件中，提供签署《中小企业声明函》，可以认定为中小微企业。未在投标文件中提供《中小企业声明函》的，不享受促进中小微企业发展的相关政府采购政策。</w:t>
      </w:r>
      <w:r/>
    </w:p>
    <w:p>
      <w:pPr>
        <w:ind w:firstLine="420"/>
        <w:jc w:val="lef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3.若供应商对照《关于印发中小企业划型标准规定的通知》（工信部联企业【2011】300号）中的标准，明确不符合小型、微型企业标准的，则无需提供此声明函。</w:t>
      </w:r>
      <w:r/>
    </w:p>
    <w:p>
      <w:pPr>
        <w:ind w:firstLine="420"/>
        <w:jc w:val="lef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4．从业人员、营业收入、资产总额填报上一年度数据，无上一年度数据的新成立企业可不填报。</w:t>
      </w:r>
      <w:r/>
    </w:p>
    <w:p>
      <w:pPr>
        <w:spacing w:before="156" w:line="240" w:lineRule="exact"/>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spacing w:before="156" w:line="240" w:lineRule="exact"/>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spacing w:before="156" w:line="240" w:lineRule="exact"/>
        <w:rPr>
          <w:rFonts w:hint="eastAsia" w:ascii="宋体" w:hAnsi="宋体" w:eastAsia="宋体" w:cs="Times New Roman"/>
          <w:b/>
          <w:szCs w:val="21"/>
          <w:highlight w:val="none"/>
        </w:rPr>
      </w:pPr>
      <w:r>
        <w:rPr>
          <w:rFonts w:hint="eastAsia" w:ascii="宋体" w:hAnsi="宋体" w:eastAsia="宋体" w:cs="Times New Roman"/>
          <w:b/>
          <w:szCs w:val="21"/>
          <w:highlight w:val="none"/>
        </w:rPr>
      </w:r>
      <w:r/>
    </w:p>
    <w:p>
      <w:pPr>
        <w:spacing w:before="156" w:line="240" w:lineRule="exact"/>
        <w:rPr>
          <w:rFonts w:hint="default" w:ascii="宋体" w:hAnsi="宋体" w:eastAsia="宋体" w:cs="Times New Roman"/>
          <w:b/>
          <w:szCs w:val="21"/>
          <w:highlight w:val="none"/>
        </w:rPr>
      </w:pPr>
      <w:r>
        <w:rPr>
          <w:rFonts w:hint="eastAsia" w:ascii="宋体" w:hAnsi="宋体" w:eastAsia="宋体" w:cs="Times New Roman"/>
          <w:b/>
          <w:szCs w:val="21"/>
          <w:highlight w:val="none"/>
        </w:rPr>
        <w:t xml:space="preserve">附：中小企业划型标准规定（工信部联企业〔2011〕300号）</w:t>
      </w:r>
      <w:r/>
    </w:p>
    <w:p>
      <w:pPr>
        <w:ind w:firstLine="420"/>
        <w:widowControl/>
        <w:rPr>
          <w:rFonts w:hint="default" w:ascii="宋体" w:hAnsi="宋体" w:eastAsia="宋体" w:cs="Times New Roman"/>
          <w:szCs w:val="21"/>
          <w:highlight w:val="none"/>
        </w:rPr>
      </w:pPr>
      <w:r>
        <w:rPr>
          <w:rFonts w:hint="default" w:ascii="宋体" w:hAnsi="宋体" w:eastAsia="宋体" w:cs="Times New Roman"/>
          <w:szCs w:val="21"/>
          <w:highlight w:val="none"/>
        </w:rPr>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（一）农、林、牧、渔业。</w:t>
      </w:r>
      <w:r>
        <w:rPr>
          <w:rFonts w:hint="eastAsia" w:ascii="宋体" w:hAnsi="宋体" w:eastAsia="宋体" w:cs="Times New Roman"/>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（二）工业。</w:t>
      </w:r>
      <w:r>
        <w:rPr>
          <w:rFonts w:hint="eastAsia" w:ascii="宋体" w:hAnsi="宋体" w:eastAsia="宋体" w:cs="Times New Roman"/>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（三）建筑业。</w:t>
      </w:r>
      <w:r>
        <w:rPr>
          <w:rFonts w:hint="eastAsia" w:ascii="宋体" w:hAnsi="宋体" w:eastAsia="宋体" w:cs="Times New Roman"/>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（四）批发业。</w:t>
      </w:r>
      <w:r>
        <w:rPr>
          <w:rFonts w:hint="eastAsia" w:ascii="宋体" w:hAnsi="宋体" w:eastAsia="宋体" w:cs="Times New Roman"/>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（五）零售业。</w:t>
      </w:r>
      <w:r>
        <w:rPr>
          <w:rFonts w:hint="eastAsia" w:ascii="宋体" w:hAnsi="宋体" w:eastAsia="宋体" w:cs="Times New Roman"/>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（六）交通运输业。</w:t>
      </w:r>
      <w:r>
        <w:rPr>
          <w:rFonts w:hint="eastAsia" w:ascii="宋体" w:hAnsi="宋体" w:eastAsia="宋体" w:cs="Times New Roman"/>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（七）仓储业。</w:t>
      </w:r>
      <w:r>
        <w:rPr>
          <w:rFonts w:hint="eastAsia" w:ascii="宋体" w:hAnsi="宋体" w:eastAsia="宋体" w:cs="Times New Roman"/>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（八）邮政业。</w:t>
      </w:r>
      <w:r>
        <w:rPr>
          <w:rFonts w:hint="eastAsia" w:ascii="宋体" w:hAnsi="宋体" w:eastAsia="宋体" w:cs="Times New Roman"/>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（九）住宿业。</w:t>
      </w:r>
      <w:r>
        <w:rPr>
          <w:rFonts w:hint="eastAsia" w:ascii="宋体" w:hAnsi="宋体" w:eastAsia="宋体" w:cs="Times New Roman"/>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（十）餐饮业。</w:t>
      </w:r>
      <w:r>
        <w:rPr>
          <w:rFonts w:hint="eastAsia" w:ascii="宋体" w:hAnsi="宋体" w:eastAsia="宋体" w:cs="Times New Roman"/>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（十一）信息传输业。</w:t>
      </w:r>
      <w:r>
        <w:rPr>
          <w:rFonts w:hint="eastAsia" w:ascii="宋体" w:hAnsi="宋体" w:eastAsia="宋体" w:cs="Times New Roman"/>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（十二）软件和信息技术服务业。</w:t>
      </w:r>
      <w:r>
        <w:rPr>
          <w:rFonts w:hint="eastAsia" w:ascii="宋体" w:hAnsi="宋体" w:eastAsia="宋体" w:cs="Times New Roman"/>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（十三）房地产开发经营。</w:t>
      </w:r>
      <w:r>
        <w:rPr>
          <w:rFonts w:hint="eastAsia" w:ascii="宋体" w:hAnsi="宋体" w:eastAsia="宋体" w:cs="Times New Roman"/>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（十四）物业管理。</w:t>
      </w:r>
      <w:r>
        <w:rPr>
          <w:rFonts w:hint="eastAsia" w:ascii="宋体" w:hAnsi="宋体" w:eastAsia="宋体" w:cs="Times New Roman"/>
          <w:szCs w:val="21"/>
          <w:highlight w:val="none"/>
        </w:rPr>
        <w:t xml:space="preserve">从业人员1000人以下或营业收入5000万元以下的为中小微型企业。其中，从业人员</w:t>
      </w:r>
      <w:r/>
    </w:p>
    <w:p>
      <w:pPr>
        <w:spacing w:before="156" w:line="240" w:lineRule="exact"/>
        <w:rPr>
          <w:rFonts w:hint="default" w:ascii="宋体" w:hAnsi="宋体" w:eastAsia="宋体" w:cs="Times New Roman"/>
          <w:szCs w:val="21"/>
          <w:highlight w:val="none"/>
        </w:rPr>
      </w:pPr>
      <w:r>
        <w:rPr>
          <w:rFonts w:hint="eastAsia" w:ascii="宋体" w:hAnsi="宋体" w:eastAsia="宋体" w:cs="Times New Roman"/>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（十五）租赁和商务服务业。</w:t>
      </w:r>
      <w:r>
        <w:rPr>
          <w:rFonts w:hint="eastAsia" w:ascii="宋体" w:hAnsi="宋体" w:eastAsia="宋体" w:cs="Times New Roman"/>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default" w:ascii="宋体" w:hAnsi="宋体" w:eastAsia="宋体" w:cs="Times New Roman"/>
          <w:szCs w:val="21"/>
          <w:highlight w:val="none"/>
        </w:rPr>
      </w:pPr>
      <w:r>
        <w:rPr>
          <w:rFonts w:hint="eastAsia" w:ascii="宋体" w:hAnsi="宋体" w:eastAsia="宋体" w:cs="Times New Roman"/>
          <w:b/>
          <w:szCs w:val="21"/>
          <w:highlight w:val="none"/>
        </w:rPr>
        <w:t xml:space="preserve">（十六）其他未列明行业。</w:t>
      </w:r>
      <w:r>
        <w:rPr>
          <w:rFonts w:hint="eastAsia" w:ascii="宋体" w:hAnsi="宋体" w:eastAsia="宋体" w:cs="Times New Roman"/>
          <w:szCs w:val="21"/>
          <w:highlight w:val="none"/>
        </w:rPr>
        <w:t xml:space="preserve">从业人员300人以下的为中小微型企业。其中，从业人员100人及以上的为中型企业；从业人员10人及以上的为小型企业；从业人员10人以下的为微型企业。</w:t>
      </w:r>
      <w:r/>
    </w:p>
    <w:p>
      <w:pPr>
        <w:spacing w:line="400" w:lineRule="exact"/>
        <w:rPr>
          <w:rFonts w:ascii="楷体_GB2312" w:eastAsia="楷体_GB2312" w:cs="Times New Roman"/>
          <w:color w:val="auto"/>
          <w:sz w:val="28"/>
          <w:highlight w:val="none"/>
        </w:rPr>
      </w:pPr>
      <w:r>
        <w:rPr>
          <w:rFonts w:ascii="楷体_GB2312" w:eastAsia="楷体_GB2312" w:cs="Times New Roman"/>
          <w:color w:val="auto"/>
          <w:sz w:val="28"/>
          <w:highlight w:val="none"/>
        </w:rPr>
        <w:br w:type="page" w:clear="all"/>
      </w:r>
      <w:r/>
    </w:p>
    <w:p>
      <w:pPr>
        <w:numPr>
          <w:ilvl w:val="0"/>
          <w:numId w:val="0"/>
        </w:numPr>
        <w:ind w:left="0" w:firstLine="420"/>
        <w:spacing w:line="360" w:lineRule="auto"/>
        <w:rPr>
          <w:rFonts w:ascii="宋体" w:hAnsi="宋体" w:eastAsia="宋体" w:cs="Times New Roman"/>
          <w:b/>
          <w:color w:val="auto"/>
          <w:sz w:val="24"/>
          <w:highlight w:val="none"/>
        </w:rPr>
        <w:outlineLvl w:val="2"/>
      </w:pPr>
      <w:r>
        <w:rPr>
          <w:rFonts w:hint="eastAsia" w:ascii="宋体" w:hAnsi="宋体" w:eastAsia="宋体" w:cs="Times New Roman"/>
          <w:b/>
          <w:color w:val="auto"/>
          <w:sz w:val="24"/>
          <w:szCs w:val="24"/>
          <w:lang w:val="en-US" w:eastAsia="zh-CN" w:bidi="ar-SA"/>
        </w:rPr>
        <w:t xml:space="preserve">（4）</w:t>
      </w:r>
      <w:r>
        <w:rPr>
          <w:rFonts w:hint="eastAsia" w:ascii="宋体" w:hAnsi="宋体" w:eastAsia="宋体" w:cs="Times New Roman"/>
          <w:b/>
          <w:color w:val="auto"/>
          <w:sz w:val="24"/>
          <w:highlight w:val="none"/>
        </w:rPr>
        <w:t xml:space="preserve">残疾人福利性单位声明函</w:t>
      </w:r>
      <w:r/>
    </w:p>
    <w:p>
      <w:pPr>
        <w:jc w:val="center"/>
        <w:spacing w:line="580" w:lineRule="exact"/>
        <w:widowControl/>
        <w:rPr>
          <w:rFonts w:ascii="宋体" w:hAnsi="宋体" w:eastAsia="宋体" w:cs="Times New Roman"/>
          <w:color w:val="auto"/>
          <w:spacing w:val="6"/>
          <w:sz w:val="44"/>
          <w:szCs w:val="32"/>
          <w:highlight w:val="none"/>
        </w:rPr>
      </w:pPr>
      <w:r/>
      <w:bookmarkStart w:id="20" w:name="OLE_LINK13"/>
      <w:r/>
      <w:r/>
    </w:p>
    <w:p>
      <w:pPr>
        <w:jc w:val="center"/>
        <w:spacing w:line="580" w:lineRule="exact"/>
        <w:widowControl/>
        <w:rPr>
          <w:rFonts w:ascii="宋体" w:hAnsi="宋体" w:eastAsia="宋体" w:cs="Times New Roman"/>
          <w:b/>
          <w:bCs/>
          <w:color w:val="auto"/>
          <w:spacing w:val="6"/>
          <w:sz w:val="44"/>
          <w:szCs w:val="32"/>
          <w:highlight w:val="none"/>
        </w:rPr>
      </w:pPr>
      <w:r>
        <w:rPr>
          <w:rFonts w:hint="eastAsia" w:ascii="宋体" w:hAnsi="宋体" w:eastAsia="宋体" w:cs="Times New Roman"/>
          <w:b/>
          <w:bCs/>
          <w:color w:val="auto"/>
          <w:spacing w:val="6"/>
          <w:sz w:val="32"/>
          <w:szCs w:val="32"/>
          <w:highlight w:val="none"/>
        </w:rPr>
        <w:t xml:space="preserve">残疾人福利性单位声明函</w:t>
      </w:r>
      <w:bookmarkEnd w:id="20"/>
      <w:r/>
      <w:r/>
    </w:p>
    <w:p>
      <w:pPr>
        <w:jc w:val="left"/>
        <w:spacing w:line="580" w:lineRule="exact"/>
        <w:widowControl/>
        <w:rPr>
          <w:rFonts w:ascii="宋体" w:hAnsi="宋体" w:eastAsia="宋体" w:cs="Times New Roman"/>
          <w:b/>
          <w:color w:val="auto"/>
          <w:spacing w:val="6"/>
          <w:sz w:val="26"/>
          <w:szCs w:val="32"/>
          <w:highlight w:val="none"/>
        </w:rPr>
      </w:pPr>
      <w:r>
        <w:rPr>
          <w:rFonts w:ascii="宋体" w:hAnsi="宋体" w:eastAsia="宋体" w:cs="Times New Roman"/>
          <w:b/>
          <w:color w:val="auto"/>
          <w:spacing w:val="6"/>
          <w:sz w:val="26"/>
          <w:szCs w:val="32"/>
          <w:highlight w:val="none"/>
        </w:rPr>
      </w:r>
      <w:r/>
    </w:p>
    <w:p>
      <w:pPr>
        <w:ind w:firstLine="504"/>
        <w:jc w:val="left"/>
        <w:spacing w:line="580" w:lineRule="exact"/>
        <w:widowControl/>
        <w:rPr>
          <w:rFonts w:ascii="宋体" w:hAnsi="宋体" w:eastAsia="宋体" w:cs="Times New Roman"/>
          <w:color w:val="auto"/>
          <w:spacing w:val="6"/>
          <w:sz w:val="24"/>
          <w:highlight w:val="none"/>
        </w:rPr>
      </w:pPr>
      <w:r>
        <w:rPr>
          <w:rFonts w:hint="eastAsia" w:ascii="宋体" w:hAnsi="宋体" w:eastAsia="宋体" w:cs="Times New Roman"/>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highlight w:val="none"/>
        </w:rPr>
        <w:t xml:space="preserve">〔2017〕141</w:t>
      </w:r>
      <w:r>
        <w:rPr>
          <w:rFonts w:hint="eastAsia" w:ascii="宋体" w:hAnsi="宋体" w:eastAsia="宋体" w:cs="Times New Roman"/>
          <w:color w:val="auto"/>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jc w:val="left"/>
        <w:spacing w:line="580" w:lineRule="exact"/>
        <w:widowControl/>
        <w:rPr>
          <w:rFonts w:ascii="宋体" w:hAnsi="宋体" w:eastAsia="宋体" w:cs="Times New Roman"/>
          <w:color w:val="auto"/>
          <w:spacing w:val="6"/>
          <w:sz w:val="24"/>
          <w:highlight w:val="none"/>
        </w:rPr>
      </w:pPr>
      <w:r>
        <w:rPr>
          <w:rFonts w:hint="eastAsia" w:ascii="宋体" w:hAnsi="宋体" w:eastAsia="宋体" w:cs="Times New Roman"/>
          <w:color w:val="auto"/>
          <w:spacing w:val="6"/>
          <w:sz w:val="24"/>
          <w:highlight w:val="none"/>
        </w:rPr>
        <w:t xml:space="preserve">本单位对上述声明的真实性负责。如有虚假，将依法承担相应责任。</w:t>
      </w:r>
      <w:r/>
    </w:p>
    <w:p>
      <w:pPr>
        <w:ind w:firstLine="504"/>
        <w:jc w:val="left"/>
        <w:spacing w:line="580" w:lineRule="exact"/>
        <w:widowControl/>
        <w:rPr>
          <w:rFonts w:ascii="宋体" w:hAnsi="宋体" w:eastAsia="宋体" w:cs="Times New Roman"/>
          <w:color w:val="auto"/>
          <w:spacing w:val="6"/>
          <w:sz w:val="24"/>
          <w:highlight w:val="none"/>
        </w:rPr>
      </w:pPr>
      <w:r>
        <w:rPr>
          <w:rFonts w:ascii="宋体" w:hAnsi="宋体" w:eastAsia="宋体" w:cs="Times New Roman"/>
          <w:color w:val="auto"/>
          <w:spacing w:val="6"/>
          <w:sz w:val="24"/>
          <w:highlight w:val="none"/>
        </w:rPr>
      </w:r>
      <w:r/>
    </w:p>
    <w:p>
      <w:pPr>
        <w:ind w:firstLine="504"/>
        <w:jc w:val="left"/>
        <w:spacing w:line="580" w:lineRule="exact"/>
        <w:widowControl/>
        <w:rPr>
          <w:rFonts w:ascii="宋体" w:hAnsi="宋体" w:eastAsia="宋体" w:cs="Times New Roman"/>
          <w:color w:val="auto"/>
          <w:spacing w:val="6"/>
          <w:sz w:val="24"/>
          <w:highlight w:val="none"/>
        </w:rPr>
      </w:pPr>
      <w:r>
        <w:rPr>
          <w:rFonts w:ascii="宋体" w:hAnsi="宋体" w:eastAsia="宋体" w:cs="Times New Roman"/>
          <w:color w:val="auto"/>
          <w:spacing w:val="6"/>
          <w:sz w:val="24"/>
          <w:highlight w:val="none"/>
        </w:rPr>
      </w:r>
      <w:r/>
    </w:p>
    <w:p>
      <w:pPr>
        <w:ind w:right="1560" w:firstLine="504"/>
        <w:jc w:val="center"/>
        <w:spacing w:line="580" w:lineRule="exact"/>
        <w:widowControl/>
        <w:tabs>
          <w:tab w:val="left" w:pos="4860" w:leader="none"/>
        </w:tabs>
        <w:rPr>
          <w:rFonts w:ascii="宋体" w:hAnsi="宋体" w:eastAsia="宋体" w:cs="Times New Roman"/>
          <w:color w:val="auto"/>
          <w:spacing w:val="6"/>
          <w:sz w:val="24"/>
          <w:highlight w:val="none"/>
        </w:rPr>
      </w:pPr>
      <w:r>
        <w:rPr>
          <w:rFonts w:hint="eastAsia" w:ascii="宋体" w:hAnsi="宋体" w:eastAsia="宋体" w:cs="Times New Roman"/>
          <w:color w:val="auto"/>
          <w:spacing w:val="6"/>
          <w:sz w:val="24"/>
          <w:highlight w:val="none"/>
        </w:rPr>
        <w:t xml:space="preserve">                    单位名称（盖章）：</w:t>
      </w:r>
      <w:r/>
    </w:p>
    <w:p>
      <w:pPr>
        <w:ind w:right="1560" w:firstLine="504"/>
        <w:jc w:val="center"/>
        <w:spacing w:line="580" w:lineRule="exact"/>
        <w:widowControl/>
        <w:tabs>
          <w:tab w:val="left" w:pos="4860" w:leader="none"/>
        </w:tabs>
        <w:rPr>
          <w:rFonts w:ascii="宋体" w:hAnsi="宋体" w:eastAsia="宋体" w:cs="Times New Roman"/>
          <w:color w:val="auto"/>
          <w:spacing w:val="6"/>
          <w:sz w:val="24"/>
          <w:highlight w:val="none"/>
        </w:rPr>
      </w:pPr>
      <w:r>
        <w:rPr>
          <w:rFonts w:hint="eastAsia" w:ascii="宋体" w:hAnsi="宋体" w:eastAsia="宋体" w:cs="Times New Roman"/>
          <w:color w:val="auto"/>
          <w:spacing w:val="6"/>
          <w:sz w:val="24"/>
          <w:highlight w:val="none"/>
        </w:rPr>
        <w:t xml:space="preserve">           日  期：</w:t>
      </w:r>
      <w:r/>
    </w:p>
    <w:p>
      <w:pPr>
        <w:ind w:firstLine="504"/>
        <w:jc w:val="left"/>
        <w:spacing w:line="580" w:lineRule="exact"/>
        <w:widowControl/>
        <w:rPr>
          <w:rFonts w:ascii="宋体" w:hAnsi="宋体" w:eastAsia="宋体" w:cs="Times New Roman"/>
          <w:color w:val="auto"/>
          <w:spacing w:val="6"/>
          <w:sz w:val="24"/>
          <w:highlight w:val="none"/>
        </w:rPr>
      </w:pPr>
      <w:r>
        <w:rPr>
          <w:rFonts w:ascii="宋体" w:hAnsi="宋体" w:eastAsia="宋体" w:cs="Times New Roman"/>
          <w:color w:val="auto"/>
          <w:spacing w:val="6"/>
          <w:sz w:val="24"/>
          <w:highlight w:val="none"/>
        </w:rPr>
      </w:r>
      <w:r/>
    </w:p>
    <w:p>
      <w:pPr>
        <w:ind w:firstLine="506"/>
        <w:jc w:val="left"/>
        <w:spacing w:line="580" w:lineRule="exact"/>
        <w:widowControl/>
        <w:rPr>
          <w:rFonts w:ascii="宋体" w:hAnsi="宋体" w:eastAsia="宋体" w:cs="Times New Roman"/>
          <w:b/>
          <w:bCs/>
          <w:color w:val="auto"/>
          <w:spacing w:val="6"/>
          <w:sz w:val="24"/>
          <w:highlight w:val="none"/>
        </w:rPr>
      </w:pPr>
      <w:r>
        <w:rPr>
          <w:rFonts w:hint="eastAsia" w:ascii="宋体" w:hAnsi="宋体" w:eastAsia="宋体" w:cs="Times New Roman"/>
          <w:b/>
          <w:bCs/>
          <w:color w:val="auto"/>
          <w:spacing w:val="6"/>
          <w:sz w:val="24"/>
          <w:highlight w:val="none"/>
        </w:rPr>
        <w:t xml:space="preserve">注：若供应商对照《财政部  民政部  中国残疾人联合会关于促进残疾人就业政府采购政策的通知》（财库〔2017〕141号）中的规定，明确不符合残疾人福利性单位条件的，则无需提供此声明函。</w:t>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ind w:firstLine="506"/>
        <w:spacing w:line="360" w:lineRule="auto"/>
        <w:rPr>
          <w:rFonts w:ascii="宋体" w:hAnsi="宋体" w:eastAsia="宋体" w:cs="Times New Roman"/>
          <w:b/>
          <w:bCs/>
          <w:color w:val="auto"/>
          <w:spacing w:val="6"/>
          <w:sz w:val="24"/>
          <w:szCs w:val="24"/>
          <w:highlight w:val="none"/>
        </w:rPr>
      </w:pPr>
      <w:r>
        <w:rPr>
          <w:rFonts w:ascii="宋体" w:hAnsi="宋体" w:eastAsia="宋体" w:cs="Times New Roman"/>
          <w:b/>
          <w:bCs/>
          <w:color w:val="auto"/>
          <w:spacing w:val="6"/>
          <w:sz w:val="24"/>
          <w:szCs w:val="24"/>
          <w:highlight w:val="none"/>
        </w:rPr>
      </w:r>
      <w:r/>
    </w:p>
    <w:p>
      <w:pPr>
        <w:ind w:firstLine="506"/>
        <w:spacing w:line="360" w:lineRule="auto"/>
        <w:rPr>
          <w:rFonts w:ascii="宋体" w:hAnsi="宋体" w:eastAsia="宋体" w:cs="Times New Roman"/>
          <w:b/>
          <w:bCs/>
          <w:color w:val="auto"/>
          <w:spacing w:val="6"/>
          <w:sz w:val="24"/>
          <w:szCs w:val="24"/>
          <w:highlight w:val="none"/>
        </w:rPr>
      </w:pPr>
      <w:r>
        <w:rPr>
          <w:rFonts w:ascii="宋体" w:hAnsi="宋体" w:eastAsia="宋体" w:cs="Times New Roman"/>
          <w:b/>
          <w:bCs/>
          <w:color w:val="auto"/>
          <w:spacing w:val="6"/>
          <w:sz w:val="24"/>
          <w:szCs w:val="24"/>
          <w:highlight w:val="none"/>
        </w:rPr>
      </w:r>
      <w:r/>
    </w:p>
    <w:p>
      <w:pPr>
        <w:ind w:firstLine="506"/>
        <w:spacing w:line="360" w:lineRule="auto"/>
        <w:rPr>
          <w:rFonts w:ascii="宋体" w:hAnsi="宋体" w:eastAsia="宋体" w:cs="Times New Roman"/>
          <w:b/>
          <w:bCs/>
          <w:color w:val="auto"/>
          <w:spacing w:val="6"/>
          <w:sz w:val="24"/>
          <w:highlight w:val="none"/>
        </w:rPr>
      </w:pPr>
      <w:r>
        <w:rPr>
          <w:rFonts w:ascii="宋体" w:hAnsi="宋体" w:eastAsia="宋体" w:cs="Times New Roman"/>
          <w:b/>
          <w:bCs/>
          <w:color w:val="auto"/>
          <w:spacing w:val="6"/>
          <w:sz w:val="24"/>
          <w:highlight w:val="none"/>
        </w:rPr>
      </w:r>
      <w:r/>
    </w:p>
    <w:p>
      <w:pPr>
        <w:numPr>
          <w:ilvl w:val="0"/>
          <w:numId w:val="0"/>
        </w:numPr>
        <w:ind w:left="0" w:firstLine="420"/>
        <w:spacing w:line="360" w:lineRule="auto"/>
        <w:rPr>
          <w:rFonts w:ascii="宋体" w:hAnsi="宋体" w:eastAsia="宋体" w:cs="Times New Roman"/>
          <w:b/>
          <w:color w:val="auto"/>
          <w:sz w:val="24"/>
          <w:highlight w:val="none"/>
        </w:rPr>
        <w:outlineLvl w:val="2"/>
      </w:pPr>
      <w:r>
        <w:rPr>
          <w:rFonts w:hint="eastAsia" w:ascii="宋体" w:hAnsi="宋体" w:eastAsia="宋体" w:cs="Times New Roman"/>
          <w:b/>
          <w:color w:val="auto"/>
          <w:sz w:val="24"/>
          <w:szCs w:val="24"/>
          <w:lang w:val="en-US" w:eastAsia="zh-CN" w:bidi="ar-SA"/>
        </w:rPr>
        <w:t xml:space="preserve">（5）</w:t>
      </w:r>
      <w:r>
        <w:rPr>
          <w:rFonts w:hint="eastAsia" w:ascii="宋体" w:hAnsi="宋体" w:eastAsia="宋体" w:cs="Times New Roman"/>
          <w:b/>
          <w:color w:val="auto"/>
          <w:sz w:val="24"/>
          <w:highlight w:val="none"/>
        </w:rPr>
        <w:t xml:space="preserve">具备履行合同所必需的设备和专业技术能力的书面声明</w:t>
      </w:r>
      <w:r/>
    </w:p>
    <w:p>
      <w:pPr>
        <w:jc w:val="center"/>
        <w:spacing w:line="360" w:lineRule="auto"/>
        <w:widowControl/>
        <w:tabs>
          <w:tab w:val="left" w:pos="0" w:leader="none"/>
          <w:tab w:val="left" w:pos="3840" w:leader="none"/>
        </w:tabs>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360" w:lineRule="auto"/>
        <w:widowControl/>
        <w:tabs>
          <w:tab w:val="left" w:pos="0" w:leader="none"/>
          <w:tab w:val="left" w:pos="3840" w:leader="none"/>
        </w:tabs>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具备履行合同所必需的设备和专业技术能力的书面声明</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主要设备有：  。</w:t>
      </w:r>
      <w:r/>
    </w:p>
    <w:p>
      <w:pPr>
        <w:ind w:firstLine="480"/>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主要专业技术能力有：  。</w:t>
      </w:r>
      <w:r/>
    </w:p>
    <w:p>
      <w:pPr>
        <w:ind w:firstLine="480"/>
        <w:jc w:val="left"/>
        <w:spacing w:line="56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56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560" w:lineRule="exact"/>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left="0" w:firstLine="420"/>
        <w:spacing w:line="360" w:lineRule="auto"/>
        <w:rPr>
          <w:rFonts w:ascii="宋体" w:hAnsi="宋体" w:eastAsia="宋体" w:cs="Times New Roman"/>
          <w:b/>
          <w:color w:val="auto"/>
          <w:sz w:val="24"/>
          <w:highlight w:val="none"/>
        </w:rPr>
        <w:outlineLvl w:val="2"/>
      </w:pPr>
      <w:r>
        <w:rPr>
          <w:rFonts w:hint="eastAsia" w:ascii="宋体" w:hAnsi="宋体" w:eastAsia="宋体" w:cs="Times New Roman"/>
          <w:b/>
          <w:color w:val="auto"/>
          <w:sz w:val="24"/>
          <w:szCs w:val="24"/>
          <w:lang w:val="en-US" w:eastAsia="zh-CN" w:bidi="ar-SA"/>
        </w:rPr>
        <w:t xml:space="preserve">（6）</w:t>
      </w:r>
      <w:r>
        <w:rPr>
          <w:rFonts w:hint="eastAsia" w:ascii="宋体" w:hAnsi="宋体" w:eastAsia="宋体" w:cs="Times New Roman"/>
          <w:b/>
          <w:color w:val="auto"/>
          <w:sz w:val="24"/>
          <w:highlight w:val="none"/>
        </w:rPr>
        <w:t xml:space="preserve">参加政府采购活动前3年内在经营活动中没有重大违法记录的书面声明</w:t>
      </w:r>
      <w:r/>
    </w:p>
    <w:p>
      <w:pPr>
        <w:rPr>
          <w:rFonts w:ascii="宋体" w:hAnsi="宋体" w:eastAsia="宋体" w:cs="Times New Roman"/>
          <w:color w:val="auto"/>
          <w:sz w:val="32"/>
          <w:szCs w:val="32"/>
          <w:highlight w:val="none"/>
        </w:rPr>
      </w:pPr>
      <w:r>
        <w:rPr>
          <w:rFonts w:ascii="宋体" w:hAnsi="宋体" w:eastAsia="宋体" w:cs="Times New Roman"/>
          <w:color w:val="auto"/>
          <w:sz w:val="32"/>
          <w:szCs w:val="32"/>
          <w:highlight w:val="none"/>
        </w:rPr>
      </w:r>
      <w:r/>
    </w:p>
    <w:p>
      <w:pPr>
        <w:ind w:firstLine="480"/>
        <w:jc w:val="center"/>
        <w:spacing w:line="560" w:lineRule="exact"/>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参加政府采购活动前3年内在经营活动中没有重大违法记录的书面声明</w:t>
      </w:r>
      <w:r/>
    </w:p>
    <w:p>
      <w:pPr>
        <w:jc w:val="left"/>
        <w:spacing w:line="360" w:lineRule="auto"/>
        <w:widowControl/>
        <w:rPr>
          <w:rFonts w:ascii="宋体" w:hAnsi="宋体" w:eastAsia="宋体" w:cs="宋体"/>
          <w:color w:val="auto"/>
          <w:sz w:val="26"/>
          <w:szCs w:val="20"/>
          <w:highlight w:val="none"/>
        </w:rPr>
      </w:pPr>
      <w:r>
        <w:rPr>
          <w:rFonts w:ascii="宋体" w:hAnsi="宋体" w:eastAsia="宋体" w:cs="宋体"/>
          <w:color w:val="auto"/>
          <w:sz w:val="26"/>
          <w:szCs w:val="20"/>
          <w:highlight w:val="none"/>
        </w:rPr>
      </w:r>
      <w:r/>
    </w:p>
    <w:p>
      <w:pPr>
        <w:ind w:firstLine="480"/>
        <w:jc w:val="left"/>
        <w:spacing w:line="360" w:lineRule="auto"/>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360" w:lineRule="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我单位郑重声明：参加本次政府采购活动前3年内，我单位在经营活动中没有因违法经营受到刑事处罚或</w:t>
      </w:r>
      <w:r>
        <w:rPr>
          <w:rFonts w:hint="eastAsia" w:ascii="宋体" w:hAnsi="宋体" w:eastAsia="宋体" w:cs="宋体"/>
          <w:color w:val="auto"/>
          <w:sz w:val="24"/>
          <w:szCs w:val="22"/>
          <w:highlight w:val="none"/>
        </w:rPr>
        <w:t xml:space="preserve">者责令停产停业、吊销许可证或者执照、较大数额罚款等行政处罚，参加政府采购活动前3年内在经营活动中没有重大违法记录。</w:t>
      </w:r>
      <w:r/>
    </w:p>
    <w:p>
      <w:pPr>
        <w:ind w:firstLine="480"/>
        <w:jc w:val="left"/>
        <w:spacing w:line="360" w:lineRule="auto"/>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360" w:lineRule="auto"/>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jc w:val="left"/>
        <w:spacing w:line="360" w:lineRule="auto"/>
        <w:widowControl/>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法定代表人或代理人：（签字或盖章）</w:t>
      </w:r>
      <w:r/>
    </w:p>
    <w:p>
      <w:pPr>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Style w:val="7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numPr>
          <w:ilvl w:val="0"/>
          <w:numId w:val="0"/>
        </w:numPr>
        <w:ind w:left="0" w:firstLine="420"/>
        <w:spacing w:line="360" w:lineRule="auto"/>
        <w:rPr>
          <w:rFonts w:ascii="宋体" w:hAnsi="宋体" w:eastAsia="宋体" w:cs="Times New Roman"/>
          <w:b/>
          <w:color w:val="auto"/>
          <w:sz w:val="24"/>
          <w:highlight w:val="none"/>
        </w:rPr>
        <w:outlineLvl w:val="2"/>
      </w:pPr>
      <w:r>
        <w:rPr>
          <w:rFonts w:hint="eastAsia" w:ascii="宋体" w:hAnsi="宋体" w:eastAsia="宋体" w:cs="Times New Roman"/>
          <w:b/>
          <w:color w:val="auto"/>
          <w:sz w:val="24"/>
          <w:szCs w:val="24"/>
          <w:lang w:val="en-US" w:eastAsia="zh-CN" w:bidi="ar-SA"/>
        </w:rPr>
        <w:t xml:space="preserve">（7）</w:t>
      </w:r>
      <w:r>
        <w:rPr>
          <w:rFonts w:hint="eastAsia" w:ascii="宋体" w:hAnsi="宋体" w:eastAsia="宋体" w:cs="Times New Roman"/>
          <w:b/>
          <w:color w:val="auto"/>
          <w:sz w:val="24"/>
          <w:highlight w:val="none"/>
        </w:rPr>
        <w:t xml:space="preserve">投标保证承诺书</w:t>
      </w:r>
      <w:r/>
    </w:p>
    <w:p>
      <w:pPr>
        <w:ind w:firstLine="20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center"/>
        <w:spacing w:line="360" w:lineRule="auto"/>
        <w:widowControl/>
        <w:rPr>
          <w:rFonts w:ascii="宋体" w:hAnsi="宋体" w:eastAsia="宋体" w:cs="Times New Roman"/>
          <w:b/>
          <w:bCs/>
          <w:color w:val="auto"/>
          <w:sz w:val="24"/>
          <w:highlight w:val="none"/>
        </w:rPr>
      </w:pPr>
      <w:r>
        <w:rPr>
          <w:rFonts w:hint="eastAsia" w:ascii="宋体" w:hAnsi="宋体" w:eastAsia="宋体" w:cs="Times New Roman"/>
          <w:b/>
          <w:color w:val="auto"/>
          <w:sz w:val="24"/>
          <w:highlight w:val="none"/>
        </w:rPr>
        <w:t xml:space="preserve">投标</w:t>
      </w:r>
      <w:r>
        <w:rPr>
          <w:rFonts w:hint="eastAsia" w:ascii="宋体" w:hAnsi="宋体" w:eastAsia="宋体" w:cs="Times New Roman"/>
          <w:b/>
          <w:bCs/>
          <w:color w:val="auto"/>
          <w:sz w:val="24"/>
          <w:highlight w:val="none"/>
        </w:rPr>
        <w:t xml:space="preserve">保证承诺书</w:t>
      </w:r>
      <w:r/>
    </w:p>
    <w:p>
      <w:pPr>
        <w:spacing w:line="360" w:lineRule="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致：</w:t>
      </w:r>
      <w:r>
        <w:rPr>
          <w:rFonts w:hint="eastAsia" w:ascii="宋体" w:hAnsi="宋体" w:cs="Times New Roman"/>
          <w:color w:val="auto"/>
          <w:sz w:val="24"/>
          <w:highlight w:val="none"/>
          <w:u w:val="single"/>
          <w:lang w:eastAsia="zh-CN"/>
        </w:rPr>
        <w:t xml:space="preserve">苏州信德咨询有限公司</w:t>
      </w:r>
      <w:r>
        <w:rPr>
          <w:rFonts w:hint="eastAsia" w:ascii="宋体" w:hAnsi="宋体" w:eastAsia="宋体" w:cs="Times New Roman"/>
          <w:color w:val="auto"/>
          <w:sz w:val="24"/>
          <w:highlight w:val="none"/>
          <w:u w:val="single"/>
        </w:rPr>
        <w:t xml:space="preserve"> </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我（单位/本人，以下统称我单位）自愿参加</w:t>
      </w:r>
      <w:r>
        <w:rPr>
          <w:rFonts w:hint="eastAsia" w:ascii="宋体" w:hAnsi="宋体" w:eastAsia="宋体" w:cs="Times New Roman"/>
          <w:color w:val="auto"/>
          <w:sz w:val="24"/>
          <w:highlight w:val="none"/>
          <w:u w:val="single"/>
        </w:rPr>
        <w:t xml:space="preserve">   （项目名称和采购编号）</w:t>
      </w:r>
      <w:r>
        <w:rPr>
          <w:rFonts w:hint="eastAsia" w:ascii="宋体" w:hAnsi="宋体" w:eastAsia="宋体" w:cs="Times New Roman"/>
          <w:color w:val="auto"/>
          <w:sz w:val="24"/>
          <w:highlight w:val="none"/>
        </w:rPr>
        <w:t xml:space="preserve">的投标,并做出如下承诺：</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一、除不可抗力外，我单位如果发生以下行为，将在行为发生的10个工作日内，向贵方支付本采购文件公布的预算金额的2%作为违约赔偿金。</w:t>
      </w:r>
      <w:r/>
    </w:p>
    <w:p>
      <w:pPr>
        <w:ind w:firstLine="555"/>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1.自投标截止时间至本项目发布中标公告为止，撤销投标；</w:t>
      </w:r>
      <w:r/>
    </w:p>
    <w:p>
      <w:pPr>
        <w:ind w:firstLine="555"/>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2.中标后不依法与采购人签订合同；</w:t>
      </w:r>
      <w:r/>
    </w:p>
    <w:p>
      <w:pPr>
        <w:ind w:firstLine="555"/>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3.中标后不按本采购文件规定向采购人提交履约保证金；</w:t>
      </w:r>
      <w:r/>
    </w:p>
    <w:p>
      <w:pPr>
        <w:ind w:firstLine="555"/>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4.中标后不按本采购文件规定向贵方缴纳采购代理费。</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二、我单位知晓上述行为的法律后果，承认本承诺书作为贵方要求我单位履行违约赔偿义务的依据作用。</w:t>
      </w:r>
      <w:r/>
    </w:p>
    <w:p>
      <w:pPr>
        <w:ind w:left="156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（盖公章）</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地址：</w:t>
      </w:r>
      <w:r>
        <w:rPr>
          <w:rFonts w:hint="eastAsia" w:ascii="宋体" w:hAnsi="宋体" w:eastAsia="宋体" w:cs="Times New Roman"/>
          <w:color w:val="auto"/>
          <w:sz w:val="24"/>
          <w:highlight w:val="none"/>
          <w:u w:val="singl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电话：</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传真：</w:t>
      </w:r>
      <w:r>
        <w:rPr>
          <w:rFonts w:hint="eastAsia" w:ascii="宋体" w:hAnsi="宋体" w:eastAsia="宋体" w:cs="Times New Roman"/>
          <w:color w:val="auto"/>
          <w:sz w:val="24"/>
          <w:highlight w:val="none"/>
          <w:u w:val="singl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电子邮件：</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邮编：</w:t>
      </w:r>
      <w:r>
        <w:rPr>
          <w:rFonts w:hint="eastAsia" w:ascii="宋体" w:hAnsi="宋体" w:eastAsia="宋体" w:cs="Times New Roman"/>
          <w:color w:val="auto"/>
          <w:sz w:val="24"/>
          <w:highlight w:val="none"/>
          <w:u w:val="singl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法定代表人或委托代理人(签字或签章)：</w:t>
      </w:r>
      <w:r>
        <w:rPr>
          <w:rFonts w:hint="eastAsia" w:ascii="宋体" w:hAnsi="宋体" w:eastAsia="宋体" w:cs="Times New Roman"/>
          <w:color w:val="auto"/>
          <w:sz w:val="24"/>
          <w:highlight w:val="none"/>
          <w:u w:val="single"/>
        </w:rPr>
        <w:t xml:space="preserve">             </w:t>
      </w:r>
      <w:r/>
    </w:p>
    <w:p>
      <w:pP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w:t>
      </w:r>
      <w:r>
        <w:rPr>
          <w:rFonts w:hint="eastAsia" w:ascii="宋体" w:hAnsi="宋体" w:eastAsia="宋体" w:cs="Times New Roman"/>
          <w:color w:val="auto"/>
          <w:sz w:val="24"/>
          <w:highlight w:val="none"/>
          <w:u w:val="single"/>
        </w:rPr>
        <w:t xml:space="preserve">         </w:t>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spacing w:line="360" w:lineRule="auto"/>
        <w:widowControl/>
        <w:rPr>
          <w:rFonts w:ascii="宋体" w:hAnsi="宋体" w:eastAsia="宋体" w:cs="Times New Roman"/>
          <w:b/>
          <w:spacing w:val="6"/>
          <w:szCs w:val="21"/>
        </w:rPr>
      </w:pPr>
      <w:r>
        <w:rPr>
          <w:rFonts w:ascii="宋体" w:hAnsi="宋体" w:eastAsia="宋体" w:cs="Times New Roman"/>
          <w:b/>
          <w:spacing w:val="6"/>
          <w:szCs w:val="21"/>
        </w:rPr>
      </w:r>
      <w:r/>
    </w:p>
    <w:p>
      <w:pPr>
        <w:rPr>
          <w:rFonts w:hint="eastAsia" w:ascii="黑体" w:hAnsi="宋体" w:eastAsia="黑体" w:cs="Times New Roman"/>
          <w:b/>
          <w:bCs/>
          <w:color w:val="auto"/>
          <w:sz w:val="32"/>
          <w:highlight w:val="none"/>
        </w:rPr>
      </w:pPr>
      <w:r>
        <w:rPr>
          <w:rFonts w:hint="eastAsia" w:ascii="黑体" w:hAnsi="宋体" w:eastAsia="黑体" w:cs="Times New Roman"/>
          <w:b/>
          <w:bCs/>
          <w:color w:val="auto"/>
          <w:sz w:val="3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第四章</w:t>
      </w:r>
      <w:r>
        <w:rPr>
          <w:rFonts w:ascii="宋体" w:hAnsi="宋体" w:eastAsia="宋体" w:cs="Times New Roman"/>
          <w:b/>
          <w:color w:val="auto"/>
          <w:sz w:val="52"/>
          <w:highlight w:val="none"/>
        </w:rPr>
        <w:t xml:space="preserve"> </w:t>
      </w:r>
      <w:r>
        <w:rPr>
          <w:rFonts w:hint="eastAsia" w:ascii="宋体" w:hAnsi="宋体" w:eastAsia="宋体" w:cs="Times New Roman"/>
          <w:b/>
          <w:color w:val="auto"/>
          <w:sz w:val="52"/>
          <w:highlight w:val="none"/>
        </w:rPr>
        <w:t xml:space="preserve">招标书</w:t>
      </w:r>
      <w:bookmarkEnd w:id="6"/>
      <w:r/>
      <w:bookmarkEnd w:id="7"/>
      <w:r/>
      <w:bookmarkEnd w:id="8"/>
      <w:r/>
      <w:r/>
    </w:p>
    <w:p>
      <w:pPr>
        <w:jc w:val="center"/>
        <w:spacing w:line="360" w:lineRule="auto"/>
        <w:widowControl/>
        <w:rPr>
          <w:rFonts w:ascii="宋体" w:hAnsi="宋体" w:eastAsia="宋体" w:cs="Times New Roman"/>
          <w:b/>
          <w:color w:val="auto"/>
          <w:sz w:val="24"/>
          <w:highlight w:val="none"/>
        </w:rPr>
      </w:pPr>
      <w:r/>
      <w:bookmarkStart w:id="21" w:name="_Toc13543212"/>
      <w:r>
        <w:rPr>
          <w:rFonts w:ascii="宋体" w:hAnsi="宋体" w:eastAsia="宋体" w:cs="Times New Roman"/>
          <w:b/>
          <w:color w:val="auto"/>
          <w:sz w:val="44"/>
          <w:szCs w:val="20"/>
          <w:highlight w:val="none"/>
        </w:rPr>
        <w:br w:type="page" w:clear="all"/>
      </w:r>
      <w:r>
        <w:rPr>
          <w:rFonts w:hint="eastAsia" w:ascii="宋体" w:hAnsi="宋体" w:eastAsia="宋体" w:cs="Times New Roman"/>
          <w:b/>
          <w:color w:val="auto"/>
          <w:sz w:val="32"/>
          <w:szCs w:val="32"/>
          <w:highlight w:val="none"/>
        </w:rPr>
        <w:t xml:space="preserve">招标书</w:t>
      </w:r>
      <w:bookmarkEnd w:id="21"/>
      <w:r/>
      <w:r/>
    </w:p>
    <w:p>
      <w:pPr>
        <w:ind w:firstLine="480"/>
        <w:jc w:val="left"/>
        <w:spacing w:line="400" w:lineRule="exact"/>
        <w:widowControl w:val="off"/>
        <w:rPr>
          <w:rFonts w:hint="eastAsia" w:ascii="宋体" w:hAnsi="宋体" w:eastAsia="宋体" w:cs="宋体"/>
          <w:b/>
          <w:color w:val="auto"/>
          <w:sz w:val="24"/>
          <w:highlight w:val="none"/>
        </w:rPr>
      </w:pPr>
      <w:r>
        <w:rPr>
          <w:rFonts w:hint="eastAsia" w:ascii="宋体" w:hAnsi="宋体" w:cs="Times New Roman"/>
          <w:bCs/>
          <w:color w:val="auto"/>
          <w:sz w:val="24"/>
          <w:szCs w:val="24"/>
          <w:highlight w:val="none"/>
          <w:u w:val="single"/>
          <w:lang w:val="en-US" w:eastAsia="zh-CN" w:bidi="ar-SA"/>
        </w:rPr>
        <w:t xml:space="preserve">苏州信德咨询有限公司</w:t>
      </w:r>
      <w:r>
        <w:rPr>
          <w:rFonts w:hint="eastAsia" w:ascii="宋体" w:hAnsi="宋体" w:eastAsia="宋体" w:cs="Times New Roman"/>
          <w:bCs/>
          <w:color w:val="auto"/>
          <w:sz w:val="24"/>
          <w:szCs w:val="24"/>
          <w:highlight w:val="none"/>
          <w:lang w:val="en-US" w:eastAsia="zh-CN" w:bidi="ar-SA"/>
        </w:rPr>
        <w:t xml:space="preserve">受</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cs="Times New Roman"/>
          <w:bCs/>
          <w:color w:val="auto"/>
          <w:sz w:val="24"/>
          <w:szCs w:val="24"/>
          <w:highlight w:val="none"/>
          <w:u w:val="single"/>
          <w:lang w:val="en-US" w:eastAsia="zh-CN" w:bidi="ar-SA"/>
        </w:rPr>
        <w:t xml:space="preserve">苏州市姑苏区住房和建设委员会</w:t>
      </w:r>
      <w:r>
        <w:rPr>
          <w:rFonts w:hint="eastAsia" w:ascii="宋体" w:hAnsi="宋体" w:eastAsia="宋体" w:cs="Times New Roman"/>
          <w:bCs/>
          <w:color w:val="auto"/>
          <w:sz w:val="24"/>
          <w:szCs w:val="24"/>
          <w:highlight w:val="none"/>
          <w:u w:val="single"/>
          <w:lang w:val="en-US" w:eastAsia="zh-CN" w:bidi="ar-SA"/>
        </w:rPr>
        <w:t xml:space="preserve"> </w:t>
      </w:r>
      <w:r>
        <w:rPr>
          <w:rFonts w:hint="eastAsia" w:ascii="宋体" w:hAnsi="宋体" w:eastAsia="宋体" w:cs="Times New Roman"/>
          <w:bCs/>
          <w:color w:val="auto"/>
          <w:sz w:val="24"/>
          <w:szCs w:val="24"/>
          <w:highlight w:val="none"/>
          <w:lang w:val="en-US" w:eastAsia="zh-CN" w:bidi="ar-SA"/>
        </w:rPr>
        <w:t xml:space="preserve">委托，对</w:t>
      </w:r>
      <w:r>
        <w:rPr>
          <w:rFonts w:hint="eastAsia" w:ascii="宋体" w:hAnsi="宋体" w:cs="Times New Roman"/>
          <w:bCs/>
          <w:color w:val="auto"/>
          <w:sz w:val="24"/>
          <w:szCs w:val="24"/>
          <w:highlight w:val="none"/>
          <w:u w:val="single"/>
          <w:lang w:val="en-US" w:eastAsia="zh-CN" w:bidi="ar-SA"/>
        </w:rPr>
        <w:t xml:space="preserve">老旧小区视频监控设施维护（2025）</w:t>
      </w:r>
      <w:r>
        <w:rPr>
          <w:rFonts w:hint="eastAsia" w:ascii="宋体" w:hAnsi="宋体" w:eastAsia="宋体" w:cs="Times New Roman"/>
          <w:bCs/>
          <w:color w:val="auto"/>
          <w:sz w:val="24"/>
          <w:szCs w:val="24"/>
          <w:highlight w:val="none"/>
          <w:lang w:val="en-US" w:eastAsia="zh-CN" w:bidi="ar-SA"/>
        </w:rPr>
        <w:t xml:space="preserve">进行国内公开招标</w:t>
      </w:r>
      <w:r>
        <w:rPr>
          <w:rFonts w:ascii="宋体" w:hAnsi="宋体" w:eastAsia="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欢迎符合投标资格条件的投标人</w:t>
      </w:r>
      <w:r>
        <w:rPr>
          <w:rFonts w:ascii="宋体" w:hAnsi="宋体" w:eastAsia="宋体" w:cs="Times New Roman"/>
          <w:bCs/>
          <w:color w:val="auto"/>
          <w:sz w:val="24"/>
          <w:szCs w:val="24"/>
          <w:highlight w:val="none"/>
          <w:lang w:val="en-US" w:eastAsia="zh-CN" w:bidi="ar-SA"/>
        </w:rPr>
        <w:t xml:space="preserve">前来投标。</w:t>
      </w:r>
      <w:r/>
    </w:p>
    <w:p>
      <w:pPr>
        <w:ind w:firstLine="482"/>
        <w:spacing w:line="360" w:lineRule="auto"/>
        <w:rPr>
          <w:rFonts w:hint="eastAsia" w:ascii="宋体" w:hAnsi="宋体" w:eastAsia="宋体" w:cs="宋体"/>
          <w:color w:val="0000ff"/>
          <w:sz w:val="24"/>
          <w:highlight w:val="none"/>
          <w:lang w:eastAsia="zh-CN"/>
        </w:rPr>
      </w:pPr>
      <w:r>
        <w:rPr>
          <w:rFonts w:hint="eastAsia" w:ascii="宋体" w:hAnsi="宋体" w:eastAsia="宋体" w:cs="宋体"/>
          <w:b/>
          <w:color w:val="auto"/>
          <w:sz w:val="24"/>
          <w:highlight w:val="none"/>
        </w:rPr>
        <w:t xml:space="preserve">一、采购编号：</w:t>
      </w:r>
      <w:r>
        <w:rPr>
          <w:rFonts w:hint="eastAsia" w:ascii="宋体" w:hAnsi="宋体" w:cs="宋体"/>
          <w:color w:val="auto"/>
          <w:sz w:val="24"/>
          <w:highlight w:val="none"/>
          <w:lang w:eastAsia="zh-CN"/>
        </w:rPr>
        <w:t xml:space="preserve">JSZC-320508-XDZJ-G2026-0001</w:t>
      </w:r>
      <w:r/>
    </w:p>
    <w:p>
      <w:pPr>
        <w:ind w:right="31" w:firstLine="482"/>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color w:val="auto"/>
          <w:sz w:val="24"/>
          <w:highlight w:val="none"/>
        </w:rPr>
        <w:t xml:space="preserve">二、采购项目名称：</w:t>
      </w:r>
      <w:r>
        <w:rPr>
          <w:rFonts w:hint="eastAsia" w:ascii="宋体" w:hAnsi="宋体" w:cs="宋体"/>
          <w:bCs/>
          <w:color w:val="auto"/>
          <w:sz w:val="24"/>
          <w:highlight w:val="none"/>
          <w:lang w:eastAsia="zh-CN"/>
        </w:rPr>
        <w:t xml:space="preserve">老旧小区视频监控设施维护（2025）</w:t>
      </w:r>
      <w:r/>
    </w:p>
    <w:p>
      <w:pPr>
        <w:ind w:right="31" w:firstLine="482"/>
        <w:spacing w:line="360" w:lineRule="auto"/>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三、采购预算：</w:t>
      </w:r>
      <w:r>
        <w:rPr>
          <w:rFonts w:hint="eastAsia" w:ascii="宋体" w:hAnsi="宋体" w:cs="宋体"/>
          <w:color w:val="auto"/>
          <w:sz w:val="24"/>
          <w:highlight w:val="none"/>
          <w:lang w:eastAsia="zh-CN"/>
        </w:rPr>
        <w:t xml:space="preserve">人民币伍佰叁拾玖万元整（小写：5390000.00元） </w:t>
      </w:r>
      <w:r/>
    </w:p>
    <w:p>
      <w:pPr>
        <w:ind w:right="31" w:firstLine="482"/>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highlight w:val="none"/>
        </w:rPr>
        <w:t xml:space="preserve">四、最高限价：</w:t>
      </w:r>
      <w:r>
        <w:rPr>
          <w:rFonts w:hint="eastAsia" w:ascii="宋体" w:hAnsi="宋体" w:cs="宋体"/>
          <w:color w:val="auto"/>
          <w:sz w:val="24"/>
          <w:highlight w:val="none"/>
          <w:lang w:eastAsia="zh-CN"/>
        </w:rPr>
        <w:t xml:space="preserve">人民币伍佰叁拾玖万元整（小写：5390000.00元） </w:t>
      </w:r>
      <w:r/>
    </w:p>
    <w:p>
      <w:pPr>
        <w:ind w:firstLine="480"/>
        <w:spacing w:line="360" w:lineRule="auto"/>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五、服务期限：</w:t>
      </w:r>
      <w:r>
        <w:rPr>
          <w:rFonts w:hint="eastAsia" w:ascii="宋体" w:hAnsi="宋体" w:cs="宋体"/>
          <w:sz w:val="24"/>
          <w:szCs w:val="20"/>
          <w:highlight w:val="none"/>
          <w:lang w:val="en-US" w:eastAsia="zh-CN"/>
        </w:rPr>
        <w:t xml:space="preserve">叁年。维保时间自2026年1月30日至2029年1月29日。实际开始时间以上年维保到期并办理好移交手续为准。</w:t>
      </w:r>
      <w:r/>
    </w:p>
    <w:p>
      <w:pPr>
        <w:pStyle w:val="699"/>
        <w:numPr>
          <w:ilvl w:val="0"/>
          <w:numId w:val="0"/>
        </w:numPr>
        <w:ind w:firstLine="482"/>
        <w:rPr>
          <w:rFonts w:hint="eastAsia"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六、采购需求：</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（一）项目背景及现状</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姑苏区推进数字产业发展和数字政府建设三年行动计划相关要求，加强视频共享能力建设，统筹协调全区范围内公安、消防、住建等部门已建的各类视频监控点，支持视频资源跨部门授权及互联互通互控，实现全区视频的实时共享。</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苏州市姑苏区、苏州国家历史文化名城保护区住房和建设委员会在2018-2020期间陆续开展建设老旧小区整治项目，完成一批视频监控建设。为响应全区视频“统一汇聚、统一标准、统一输出、共享使用、共同管理维护”的原则，需对这部分视频监控进行统一的运维管理，并接入姑苏区城市运行联动指挥中心的统一视频汇聚和共享平台，补充完成全区视频资源目录体系，从而达到姑苏区视频资源集约建设、智慧化共享使用的最终目的。</w:t>
      </w:r>
      <w:r/>
    </w:p>
    <w:p>
      <w:pPr>
        <w:ind w:left="0" w:firstLine="480"/>
        <w:jc w:val="both"/>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老旧小区整治项目维保到期项目中，</w:t>
      </w:r>
      <w:bookmarkStart w:id="22" w:name="_Hlk135315558"/>
      <w:r>
        <w:rPr>
          <w:rFonts w:hint="eastAsia" w:ascii="宋体" w:hAnsi="宋体" w:eastAsia="宋体" w:cs="宋体"/>
          <w:color w:val="auto"/>
          <w:sz w:val="24"/>
          <w:szCs w:val="24"/>
          <w:highlight w:val="none"/>
          <w:lang w:val="en-US" w:eastAsia="zh-CN" w:bidi="ar-SA"/>
        </w:rPr>
        <w:t xml:space="preserve">部分项目因脱保时间较长，设备异常及坏损情况较为严重，线路及电源断开情况较为严重。</w:t>
      </w:r>
      <w:bookmarkEnd w:id="22"/>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经统计，本次采购</w:t>
      </w:r>
      <w:r>
        <w:rPr>
          <w:rFonts w:hint="eastAsia" w:ascii="宋体" w:hAnsi="宋体" w:cs="宋体"/>
          <w:color w:val="000000"/>
          <w:sz w:val="24"/>
          <w:szCs w:val="24"/>
          <w:highlight w:val="none"/>
          <w:lang w:eastAsia="zh-CN"/>
        </w:rPr>
        <w:t xml:space="preserve">老旧小区视频监控设施维护（2025）</w:t>
      </w:r>
      <w:r>
        <w:rPr>
          <w:rFonts w:hint="eastAsia" w:ascii="宋体" w:hAnsi="宋体" w:eastAsia="宋体" w:cs="宋体"/>
          <w:color w:val="000000"/>
          <w:sz w:val="24"/>
          <w:szCs w:val="24"/>
          <w:highlight w:val="none"/>
        </w:rPr>
        <w:t xml:space="preserve">，共计涉及47小区监控数量1943路，其中：2023年已维保26个小区769路，2024年新增维保14个小区661路，2025年新增维保7个小区513路。 </w:t>
      </w:r>
      <w:r/>
    </w:p>
    <w:p>
      <w:pPr>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预计需更换摄像机：2025年采购预计更换摄像机95套，具体按实结算。</w:t>
      </w:r>
      <w:r/>
    </w:p>
    <w:tbl>
      <w:tblPr>
        <w:tblStyle w:val="694"/>
        <w:tblW w:w="986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3"/>
        <w:gridCol w:w="2177"/>
        <w:gridCol w:w="1159"/>
        <w:gridCol w:w="1159"/>
        <w:gridCol w:w="1473"/>
        <w:gridCol w:w="818"/>
        <w:gridCol w:w="1186"/>
        <w:gridCol w:w="1164"/>
      </w:tblGrid>
      <w:tr>
        <w:trPr>
          <w:jc w:val="center"/>
          <w:trHeight w:val="697"/>
        </w:trPr>
        <w:tc>
          <w:tcPr>
            <w:gridSpan w:val="8"/>
            <w:shd w:val="clear" w:color="auto" w:fill="auto"/>
            <w:tcBorders>
              <w:top w:val="none" w:color="000000" w:sz="4" w:space="0"/>
              <w:left w:val="none" w:color="000000" w:sz="4" w:space="0"/>
              <w:bottom w:val="none" w:color="000000" w:sz="4" w:space="0"/>
              <w:right w:val="none" w:color="000000" w:sz="4" w:space="0"/>
            </w:tcBorders>
            <w:tcW w:w="9869" w:type="dxa"/>
            <w:vAlign w:val="center"/>
            <w:textDirection w:val="lrTb"/>
            <w:noWrap/>
          </w:tcPr>
          <w:p>
            <w:pPr>
              <w:jc w:val="center"/>
              <w:keepLines w:val="0"/>
              <w:keepNext w:val="0"/>
              <w:widowControl/>
              <w:rPr>
                <w:rFonts w:hint="eastAsia" w:ascii="宋体" w:hAnsi="宋体" w:eastAsia="宋体" w:cs="宋体"/>
                <w:b/>
                <w:bCs/>
                <w:i w:val="0"/>
                <w:iCs w:val="0"/>
                <w:color w:val="000000"/>
                <w:sz w:val="40"/>
                <w:szCs w:val="40"/>
                <w:u w:val="none"/>
              </w:rPr>
              <w:suppressLineNumbers w:val="0"/>
            </w:pPr>
            <w:r>
              <w:rPr>
                <w:rFonts w:hint="eastAsia" w:ascii="宋体" w:hAnsi="宋体" w:eastAsia="宋体" w:cs="宋体"/>
                <w:b/>
                <w:bCs/>
                <w:i w:val="0"/>
                <w:iCs w:val="0"/>
                <w:color w:val="000000"/>
                <w:sz w:val="40"/>
                <w:szCs w:val="40"/>
                <w:u w:val="none"/>
                <w:lang w:val="en-US" w:eastAsia="zh-CN" w:bidi="ar"/>
              </w:rPr>
              <w:t xml:space="preserve">202</w:t>
            </w:r>
            <w:r>
              <w:rPr>
                <w:rFonts w:hint="eastAsia" w:ascii="宋体" w:hAnsi="宋体" w:cs="宋体"/>
                <w:b/>
                <w:bCs/>
                <w:i w:val="0"/>
                <w:iCs w:val="0"/>
                <w:color w:val="000000"/>
                <w:sz w:val="40"/>
                <w:szCs w:val="40"/>
                <w:u w:val="none"/>
                <w:lang w:val="en-US" w:eastAsia="zh-CN" w:bidi="ar"/>
              </w:rPr>
              <w:t xml:space="preserve">5</w:t>
            </w:r>
            <w:r>
              <w:rPr>
                <w:rFonts w:hint="eastAsia" w:ascii="宋体" w:hAnsi="宋体" w:eastAsia="宋体" w:cs="宋体"/>
                <w:b/>
                <w:bCs/>
                <w:i w:val="0"/>
                <w:iCs w:val="0"/>
                <w:color w:val="000000"/>
                <w:sz w:val="40"/>
                <w:szCs w:val="40"/>
                <w:u w:val="none"/>
                <w:lang w:val="en-US" w:eastAsia="zh-CN" w:bidi="ar"/>
              </w:rPr>
              <w:t xml:space="preserve">年姑苏区老旧小区视频监控维保清单</w:t>
            </w:r>
            <w:r/>
          </w:p>
        </w:tc>
      </w:tr>
      <w:tr>
        <w:trPr>
          <w:jc w:val="center"/>
          <w:trHeight w:val="621"/>
        </w:trPr>
        <w:tc>
          <w:tcPr>
            <w:gridSpan w:val="8"/>
            <w:shd w:val="clear" w:color="auto" w:fill="auto"/>
            <w:tcBorders>
              <w:top w:val="none" w:color="000000" w:sz="4" w:space="0"/>
              <w:left w:val="none" w:color="000000" w:sz="4" w:space="0"/>
              <w:bottom w:val="none" w:color="000000" w:sz="4" w:space="0"/>
              <w:right w:val="none" w:color="000000" w:sz="4" w:space="0"/>
            </w:tcBorders>
            <w:tcW w:w="9869" w:type="dxa"/>
            <w:vAlign w:val="center"/>
            <w:textDirection w:val="lrTb"/>
            <w:noWrap/>
          </w:tcPr>
          <w:p>
            <w:pPr>
              <w:jc w:val="left"/>
              <w:rPr>
                <w:rFonts w:hint="eastAsia" w:ascii="宋体" w:hAnsi="宋体" w:eastAsia="宋体" w:cs="宋体"/>
                <w:b/>
                <w:bCs/>
                <w:i w:val="0"/>
                <w:iCs w:val="0"/>
                <w:color w:val="000000"/>
                <w:sz w:val="40"/>
                <w:szCs w:val="40"/>
                <w:u w:val="none"/>
              </w:rPr>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cs="宋体"/>
                <w:i w:val="0"/>
                <w:iCs w:val="0"/>
                <w:color w:val="000000"/>
                <w:sz w:val="24"/>
                <w:szCs w:val="24"/>
                <w:u w:val="none"/>
                <w:lang w:val="en-US" w:eastAsia="zh-CN" w:bidi="ar"/>
              </w:rPr>
              <w:t xml:space="preserve">老旧小区视频监控设施维护（2025）</w:t>
            </w:r>
            <w:r/>
          </w:p>
        </w:tc>
      </w:tr>
      <w:tr>
        <w:trPr>
          <w:jc w:val="center"/>
          <w:trHeight w:val="161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上年维保过保时间（202</w:t>
            </w:r>
            <w:r>
              <w:rPr>
                <w:rFonts w:hint="eastAsia" w:ascii="宋体" w:hAnsi="宋体" w:cs="宋体"/>
                <w:b/>
                <w:bCs/>
                <w:i w:val="0"/>
                <w:iCs w:val="0"/>
                <w:color w:val="auto"/>
                <w:sz w:val="22"/>
                <w:szCs w:val="22"/>
                <w:highlight w:val="none"/>
                <w:u w:val="none"/>
                <w:lang w:val="en-US" w:eastAsia="zh-CN" w:bidi="ar"/>
              </w:rPr>
              <w:t xml:space="preserve">4</w:t>
            </w:r>
            <w:r>
              <w:rPr>
                <w:rFonts w:hint="eastAsia" w:ascii="宋体" w:hAnsi="宋体" w:eastAsia="宋体" w:cs="宋体"/>
                <w:b/>
                <w:bCs/>
                <w:i w:val="0"/>
                <w:iCs w:val="0"/>
                <w:color w:val="auto"/>
                <w:sz w:val="22"/>
                <w:szCs w:val="22"/>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本年维保时间（20</w:t>
            </w:r>
            <w:r>
              <w:rPr>
                <w:rFonts w:hint="eastAsia" w:ascii="宋体" w:hAnsi="宋体" w:cs="宋体"/>
                <w:b/>
                <w:bCs/>
                <w:i w:val="0"/>
                <w:iCs w:val="0"/>
                <w:color w:val="auto"/>
                <w:sz w:val="22"/>
                <w:szCs w:val="22"/>
                <w:highlight w:val="none"/>
                <w:u w:val="none"/>
                <w:lang w:val="en-US" w:eastAsia="zh-CN" w:bidi="ar"/>
              </w:rPr>
              <w:t xml:space="preserve">25</w:t>
            </w:r>
            <w:r>
              <w:rPr>
                <w:rFonts w:hint="eastAsia" w:ascii="宋体" w:hAnsi="宋体" w:eastAsia="宋体" w:cs="宋体"/>
                <w:b/>
                <w:bCs/>
                <w:i w:val="0"/>
                <w:iCs w:val="0"/>
                <w:color w:val="auto"/>
                <w:sz w:val="22"/>
                <w:szCs w:val="22"/>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所属小区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监控数量</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维保</w:t>
            </w:r>
            <w:r>
              <w:rPr>
                <w:rFonts w:hint="eastAsia" w:ascii="宋体" w:hAnsi="宋体" w:eastAsia="宋体" w:cs="宋体"/>
                <w:b/>
                <w:bCs/>
                <w:i w:val="0"/>
                <w:iCs w:val="0"/>
                <w:color w:val="auto"/>
                <w:sz w:val="22"/>
                <w:szCs w:val="22"/>
                <w:highlight w:val="none"/>
                <w:u w:val="none"/>
                <w:lang w:val="en-US" w:eastAsia="zh-CN" w:bidi="ar"/>
              </w:rPr>
              <w:br/>
            </w:r>
            <w:r>
              <w:rPr>
                <w:rFonts w:hint="eastAsia" w:ascii="宋体" w:hAnsi="宋体" w:eastAsia="宋体" w:cs="宋体"/>
                <w:b/>
                <w:bCs/>
                <w:i w:val="0"/>
                <w:iCs w:val="0"/>
                <w:color w:val="auto"/>
                <w:sz w:val="22"/>
                <w:szCs w:val="22"/>
                <w:highlight w:val="none"/>
                <w:u w:val="none"/>
                <w:lang w:val="en-US" w:eastAsia="zh-CN" w:bidi="ar"/>
              </w:rPr>
              <w:t xml:space="preserve">费用（万元）</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备注</w:t>
            </w: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left"/>
              <w:rPr>
                <w:rFonts w:hint="eastAsia" w:ascii="宋体" w:hAnsi="宋体" w:eastAsia="宋体" w:cs="宋体"/>
                <w:b/>
                <w:bCs/>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 xml:space="preserve">视频监控维护服务（2023年已维保小区）</w:t>
            </w:r>
            <w:r/>
          </w:p>
        </w:tc>
      </w:tr>
      <w:tr>
        <w:trPr>
          <w:jc w:val="center"/>
          <w:trHeight w:val="198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2019年小区环境改善提升工程（福星小区一、二期综合整治）监控设备采购及安装项目</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福星小区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2019年小区环境改善提升工程（东中市49号等专项整治）-小区技防监控项目</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广济公寓</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和合小区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53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朱家弄小区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18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2019年背街水巷风貌整治工程</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背街水巷1期</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7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2019年小区环境改善提升工程（华阳花园）-二标段项目</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华阳小区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2018年姑苏区小区环境改善提升工程</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姑香苑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东方苑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南华公寓</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63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石桥里</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2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苏州清洁路158号</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清洁路</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2021年苏州市主城区干将路、三香路、馨泓路等重要区域绿化和景观提升试验段</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2025.10.29</w:t>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姑苏区白金汉宫</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姑苏区创元公园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56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姑苏区道前街滨河绿地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4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姑苏区益园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姑苏区经贸大厦</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4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姑苏区君子园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姑苏区老三香公园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姑苏区新三香公园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姑苏区乐桥广场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4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姑苏区寺泾桥</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4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姑苏区禾香园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姑苏区三香广场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56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姑苏区苏州革命博物馆</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姑苏区西北堍绿地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4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姑苏区金门路</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658"/>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 xml:space="preserve">视频监控维护服务（2024年</w:t>
            </w:r>
            <w:r>
              <w:rPr>
                <w:rFonts w:hint="eastAsia" w:ascii="宋体" w:hAnsi="宋体" w:cs="宋体"/>
                <w:i w:val="0"/>
                <w:iCs w:val="0"/>
                <w:color w:val="auto"/>
                <w:sz w:val="22"/>
                <w:szCs w:val="22"/>
                <w:u w:val="none"/>
                <w:lang w:val="en-US" w:eastAsia="zh-CN" w:bidi="ar"/>
              </w:rPr>
              <w:t xml:space="preserve">已</w:t>
            </w:r>
            <w:r>
              <w:rPr>
                <w:rFonts w:hint="eastAsia" w:ascii="宋体" w:hAnsi="宋体" w:eastAsia="宋体" w:cs="宋体"/>
                <w:i w:val="0"/>
                <w:iCs w:val="0"/>
                <w:color w:val="auto"/>
                <w:sz w:val="22"/>
                <w:szCs w:val="22"/>
                <w:u w:val="none"/>
                <w:lang w:val="en-US" w:eastAsia="zh-CN" w:bidi="ar"/>
              </w:rPr>
              <w:t xml:space="preserve">维保小区）</w:t>
            </w:r>
            <w:r/>
          </w:p>
        </w:tc>
      </w:tr>
      <w:tr>
        <w:trPr>
          <w:jc w:val="center"/>
          <w:trHeight w:val="707"/>
        </w:trPr>
        <w:tc>
          <w:tcPr>
            <w:shd w:val="clear" w:color="auto" w:fill="auto"/>
            <w:tcBorders>
              <w:top w:val="single" w:color="000000" w:sz="4" w:space="0"/>
              <w:left w:val="single" w:color="000000" w:sz="4" w:space="0"/>
              <w:bottom w:val="non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217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2020年小区环境改善提升工程(冰厂街、新元二村综合整治及新元新村专项整治)</w:t>
            </w:r>
            <w:r/>
          </w:p>
        </w:tc>
        <w:tc>
          <w:tcPr>
            <w:shd w:val="clear" w:color="auto" w:fill="auto"/>
            <w:tcBorders>
              <w:top w:val="single" w:color="000000" w:sz="4" w:space="0"/>
              <w:left w:val="single" w:color="000000" w:sz="4" w:space="0"/>
              <w:bottom w:val="non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2025.10.29</w:t>
            </w:r>
            <w:r/>
          </w:p>
        </w:tc>
        <w:tc>
          <w:tcPr>
            <w:shd w:val="clear" w:color="auto" w:fill="auto"/>
            <w:tcBorders>
              <w:top w:val="single" w:color="000000" w:sz="4" w:space="0"/>
              <w:left w:val="single" w:color="000000" w:sz="4" w:space="0"/>
              <w:bottom w:val="non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新元二村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42</w:t>
            </w:r>
            <w:r/>
          </w:p>
        </w:tc>
        <w:tc>
          <w:tcPr>
            <w:shd w:val="clear" w:color="auto" w:fill="auto"/>
            <w:tcBorders>
              <w:top w:val="single" w:color="000000" w:sz="4" w:space="0"/>
              <w:left w:val="single" w:color="000000" w:sz="4" w:space="0"/>
              <w:bottom w:val="none" w:color="000000" w:sz="4" w:space="0"/>
              <w:right w:val="single" w:color="000000" w:sz="4" w:space="0"/>
            </w:tcBorders>
            <w:tcW w:w="1186"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07"/>
        </w:trPr>
        <w:tc>
          <w:tcPr>
            <w:shd w:val="clear" w:color="auto" w:fill="auto"/>
            <w:tcBorders>
              <w:top w:val="single" w:color="000000" w:sz="4" w:space="0"/>
              <w:left w:val="single" w:color="000000" w:sz="4" w:space="0"/>
              <w:bottom w:val="non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冰厂街</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non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13"/>
        </w:trPr>
        <w:tc>
          <w:tcPr>
            <w:shd w:val="clear" w:color="auto" w:fill="auto"/>
            <w:tcBorders>
              <w:top w:val="single" w:color="000000" w:sz="4" w:space="0"/>
              <w:left w:val="single" w:color="000000" w:sz="4" w:space="0"/>
              <w:bottom w:val="non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新元新村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75</w:t>
            </w:r>
            <w:r/>
          </w:p>
        </w:tc>
        <w:tc>
          <w:tcPr>
            <w:shd w:val="clear" w:color="auto" w:fill="auto"/>
            <w:tcBorders>
              <w:top w:val="single" w:color="000000" w:sz="4" w:space="0"/>
              <w:left w:val="single" w:color="000000" w:sz="4" w:space="0"/>
              <w:bottom w:val="non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2020年小区环境改善提升工程（城中花园及桂花二村专项整治）项目</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城中花园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2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桂花二村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04"/>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2020年小区环境改善提升工程（佳安别院及周边小区、打线里、长康里、财神里及敬文里一、二、三区综合整治）——佳安别院及周边小区项目</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佳安别院</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468"/>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紫藤园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4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2020年小区环境改善提升工程（佳安别院及周边小区、打线里、长康里、财神里及敬文里一、二、三区综合整治）——大线里等四个小区施工</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打线里小区</w:t>
            </w:r>
            <w:r/>
          </w:p>
        </w:tc>
        <w:tc>
          <w:tcPr>
            <w:shd w:val="clear" w:color="auto" w:fill="auto"/>
            <w:tcBorders>
              <w:top w:val="single" w:color="000000" w:sz="4" w:space="0"/>
              <w:left w:val="single" w:color="000000" w:sz="4" w:space="0"/>
              <w:bottom w:val="single" w:color="000000" w:sz="4" w:space="0"/>
              <w:right w:val="single" w:color="auto"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47</w:t>
            </w:r>
            <w:r/>
          </w:p>
        </w:tc>
        <w:tc>
          <w:tcPr>
            <w:shd w:val="clear" w:color="auto" w:fill="auto"/>
            <w:tcBorders>
              <w:top w:val="single" w:color="auto" w:sz="4" w:space="0"/>
              <w:left w:val="single" w:color="auto" w:sz="4" w:space="0"/>
              <w:bottom w:val="single" w:color="auto" w:sz="4" w:space="0"/>
              <w:right w:val="single" w:color="auto" w:sz="4" w:space="0"/>
            </w:tcBorders>
            <w:tcW w:w="1186"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auto" w:sz="4" w:space="0"/>
              <w:left w:val="single" w:color="auto" w:sz="4" w:space="0"/>
              <w:bottom w:val="single" w:color="auto" w:sz="4" w:space="0"/>
              <w:right w:val="single" w:color="auto" w:sz="4" w:space="0"/>
            </w:tcBorders>
            <w:tcW w:w="1164" w:type="dxa"/>
            <w:vAlign w:val="center"/>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94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长康里小区</w:t>
            </w:r>
            <w:r/>
          </w:p>
        </w:tc>
        <w:tc>
          <w:tcPr>
            <w:shd w:val="clear" w:color="auto" w:fill="auto"/>
            <w:tcBorders>
              <w:top w:val="single" w:color="000000" w:sz="4" w:space="0"/>
              <w:left w:val="single" w:color="000000" w:sz="4" w:space="0"/>
              <w:bottom w:val="single" w:color="000000" w:sz="4" w:space="0"/>
              <w:right w:val="single" w:color="auto"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auto" w:sz="4" w:space="0"/>
              <w:left w:val="single" w:color="auto" w:sz="4" w:space="0"/>
              <w:bottom w:val="single" w:color="auto"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auto" w:sz="4" w:space="0"/>
              <w:left w:val="single" w:color="000000" w:sz="4" w:space="0"/>
              <w:bottom w:val="single" w:color="auto" w:sz="4" w:space="0"/>
              <w:right w:val="single" w:color="auto"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562"/>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敬文里一区、二、三区</w:t>
            </w:r>
            <w:r/>
          </w:p>
        </w:tc>
        <w:tc>
          <w:tcPr>
            <w:shd w:val="clear" w:color="auto" w:fill="auto"/>
            <w:tcBorders>
              <w:top w:val="single" w:color="000000" w:sz="4" w:space="0"/>
              <w:left w:val="single" w:color="000000" w:sz="4" w:space="0"/>
              <w:bottom w:val="single" w:color="000000" w:sz="4" w:space="0"/>
              <w:right w:val="single" w:color="auto"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66</w:t>
            </w:r>
            <w:r/>
          </w:p>
        </w:tc>
        <w:tc>
          <w:tcPr>
            <w:shd w:val="clear" w:color="auto" w:fill="auto"/>
            <w:tcBorders>
              <w:top w:val="single" w:color="auto" w:sz="4" w:space="0"/>
              <w:left w:val="single" w:color="auto" w:sz="4" w:space="0"/>
              <w:bottom w:val="single" w:color="auto"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auto" w:sz="4" w:space="0"/>
              <w:left w:val="single" w:color="000000" w:sz="4" w:space="0"/>
              <w:bottom w:val="single" w:color="auto" w:sz="4" w:space="0"/>
              <w:right w:val="single" w:color="auto"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148"/>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财神里小区</w:t>
            </w:r>
            <w:r/>
          </w:p>
        </w:tc>
        <w:tc>
          <w:tcPr>
            <w:shd w:val="clear" w:color="auto" w:fill="auto"/>
            <w:tcBorders>
              <w:top w:val="single" w:color="000000" w:sz="4" w:space="0"/>
              <w:left w:val="single" w:color="000000" w:sz="4" w:space="0"/>
              <w:bottom w:val="single" w:color="000000" w:sz="4" w:space="0"/>
              <w:right w:val="single" w:color="auto"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auto" w:sz="4" w:space="0"/>
              <w:left w:val="single" w:color="000000" w:sz="4" w:space="0"/>
              <w:bottom w:val="single" w:color="auto" w:sz="4" w:space="0"/>
              <w:right w:val="single" w:color="auto"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005"/>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2020小区环境改善提升工程（狮林苑、桐芳苑、桃花坞大街85号2-3幢专项整治及防盗门专项整治）项目</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2025.10.29</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狮林苑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70</w:t>
            </w:r>
            <w:r/>
          </w:p>
        </w:tc>
        <w:tc>
          <w:tcPr>
            <w:shd w:val="clear" w:color="auto" w:fill="auto"/>
            <w:tcBorders>
              <w:top w:val="single" w:color="auto" w:sz="4" w:space="0"/>
              <w:left w:val="single" w:color="000000" w:sz="4" w:space="0"/>
              <w:bottom w:val="single" w:color="auto" w:sz="4" w:space="0"/>
              <w:right w:val="single" w:color="000000" w:sz="4" w:space="0"/>
            </w:tcBorders>
            <w:tcW w:w="1186" w:type="dxa"/>
            <w:vAlign w:val="center"/>
            <w:vMerge w:val="restart"/>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1164" w:type="dxa"/>
            <w:vAlign w:val="center"/>
            <w:vMerge w:val="restart"/>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25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桐芳苑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90</w:t>
            </w:r>
            <w:r/>
          </w:p>
        </w:tc>
        <w:tc>
          <w:tcPr>
            <w:shd w:val="clear" w:color="auto" w:fill="auto"/>
            <w:tcBorders>
              <w:top w:val="single" w:color="auto" w:sz="4" w:space="0"/>
              <w:left w:val="single" w:color="000000" w:sz="4" w:space="0"/>
              <w:bottom w:val="single" w:color="auto" w:sz="4" w:space="0"/>
              <w:right w:val="single" w:color="000000" w:sz="4" w:space="0"/>
            </w:tcBorders>
            <w:tcW w:w="1186"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auto" w:sz="4" w:space="0"/>
              <w:left w:val="single" w:color="000000" w:sz="4" w:space="0"/>
              <w:bottom w:val="single" w:color="auto" w:sz="4" w:space="0"/>
              <w:right w:val="single" w:color="000000" w:sz="4" w:space="0"/>
            </w:tcBorders>
            <w:tcW w:w="1164" w:type="dxa"/>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86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2021年苏州市主城区平海路、虎殿路沿线绿化和景观提升工程-绿化和景观改造</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t xml:space="preserve">2025.10.29</w:t>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平海路、虎殿路沿线绿化和景观</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73</w:t>
            </w:r>
            <w:r/>
          </w:p>
        </w:tc>
        <w:tc>
          <w:tcPr>
            <w:shd w:val="clear" w:color="auto" w:fill="auto"/>
            <w:tcBorders>
              <w:top w:val="single" w:color="auto"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auto" w:sz="4" w:space="0"/>
              <w:left w:val="single" w:color="000000" w:sz="4" w:space="0"/>
              <w:bottom w:val="single" w:color="000000" w:sz="4" w:space="0"/>
              <w:right w:val="single" w:color="000000" w:sz="4" w:space="0"/>
            </w:tcBorders>
            <w:tcW w:w="1164"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小计（一）+（二）</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1430</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三</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t xml:space="preserve">视频监控维护服务（2025年新增维保小区）</w:t>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2021年小区环境改善提升工程(玻纤路新村专项整治)</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玻纤路新村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2021年小区环境改善提升工程(采香花园综合整治)市政工程                             2021 年小区环境改善提升工程(采香花园综合整治)项目房修工程         </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采香花园</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default" w:ascii="宋体" w:hAnsi="宋体" w:eastAsia="宋体" w:cs="宋体"/>
                <w:i w:val="0"/>
                <w:iCs w:val="0"/>
                <w:color w:val="auto"/>
                <w:sz w:val="22"/>
                <w:szCs w:val="22"/>
                <w:highlight w:val="none"/>
                <w:u w:val="none"/>
                <w:lang w:val="en-US" w:eastAsia="zh-CN"/>
              </w:rPr>
            </w:pPr>
            <w:r>
              <w:rPr>
                <w:rFonts w:hint="eastAsia" w:ascii="宋体" w:hAnsi="宋体" w:cs="宋体"/>
                <w:i w:val="0"/>
                <w:iCs w:val="0"/>
                <w:color w:val="auto"/>
                <w:sz w:val="22"/>
                <w:szCs w:val="22"/>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2021年小区环境改善提升工程(彩香一村三区及笑园小区专项整治)一笑园小区专项整治</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000000"/>
                <w:sz w:val="22"/>
                <w:szCs w:val="22"/>
                <w:highlight w:val="none"/>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笑园小区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highlight w:val="yellow"/>
                <w:u w:val="none"/>
              </w:rPr>
            </w:pPr>
            <w:r>
              <w:rPr>
                <w:rFonts w:hint="eastAsia" w:ascii="宋体" w:hAnsi="宋体" w:eastAsia="宋体" w:cs="宋体"/>
                <w:i w:val="0"/>
                <w:iCs w:val="0"/>
                <w:color w:val="auto"/>
                <w:sz w:val="22"/>
                <w:szCs w:val="22"/>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highlight w:val="yellow"/>
                <w:u w:val="none"/>
              </w:rPr>
            </w:pPr>
            <w:r>
              <w:rPr>
                <w:rFonts w:hint="eastAsia" w:ascii="宋体" w:hAnsi="宋体" w:eastAsia="宋体" w:cs="宋体"/>
                <w:i w:val="0"/>
                <w:iCs w:val="0"/>
                <w:color w:val="auto"/>
                <w:sz w:val="22"/>
                <w:szCs w:val="22"/>
                <w:highlight w:val="yellow"/>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姑苏区桂花三区专项整治提升工程</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桂花三区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2021年小区环境改善提升工程(南林苑综合整治及南园花苑专项整治)一标段</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南林苑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2021年小区环境改善提升工程(南林苑综合整治及南园花苑专项整治)二标段</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南园花苑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default" w:ascii="宋体" w:hAnsi="宋体" w:eastAsia="宋体" w:cs="宋体"/>
                <w:i w:val="0"/>
                <w:iCs w:val="0"/>
                <w:color w:val="auto"/>
                <w:sz w:val="22"/>
                <w:szCs w:val="22"/>
                <w:u w:val="none"/>
                <w:lang w:val="en-US" w:eastAsia="zh-CN"/>
              </w:rPr>
            </w:pPr>
            <w:r>
              <w:rPr>
                <w:rFonts w:hint="eastAsia" w:ascii="宋体" w:hAnsi="宋体" w:cs="宋体"/>
                <w:i w:val="0"/>
                <w:iCs w:val="0"/>
                <w:color w:val="auto"/>
                <w:sz w:val="22"/>
                <w:szCs w:val="22"/>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2021年小区环境改善提升工程(四合苑综合整治)</w:t>
            </w:r>
            <w:r/>
          </w:p>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2021年小区环境改善提升工程(四合苑综合整治)--市政景观绿化</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000000"/>
                <w:sz w:val="22"/>
                <w:szCs w:val="22"/>
                <w:u w:val="none"/>
                <w:lang w:val="en-US" w:eastAsia="zh-CN" w:bidi="ar"/>
              </w:rPr>
              <w:t xml:space="preserve">2026.1.30-2029.1.29</w:t>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四合苑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750"/>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小计（一）+（二）+（三）</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non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1943</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06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cs="宋体"/>
                <w:i w:val="0"/>
                <w:iCs w:val="0"/>
                <w:color w:val="auto"/>
                <w:sz w:val="22"/>
                <w:szCs w:val="22"/>
                <w:u w:val="none"/>
                <w:lang w:val="en-US" w:eastAsia="zh-CN" w:bidi="ar"/>
              </w:rPr>
              <w:t xml:space="preserve">四</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9136" w:type="dxa"/>
            <w:vAlign w:val="center"/>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bidi="ar"/>
              </w:rPr>
              <w:t xml:space="preserve">视频监控维护服务其他项</w:t>
            </w:r>
            <w:r/>
          </w:p>
        </w:tc>
      </w:tr>
      <w:tr>
        <w:trPr>
          <w:jc w:val="center"/>
          <w:trHeight w:val="707"/>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主点汇聚裸纤</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rPr>
                <w:rFonts w:hint="default" w:ascii="宋体" w:hAnsi="宋体" w:eastAsia="宋体" w:cs="宋体"/>
                <w:i w:val="0"/>
                <w:iCs w:val="0"/>
                <w:color w:val="auto"/>
                <w:sz w:val="22"/>
                <w:szCs w:val="22"/>
                <w:u w:val="none"/>
                <w:lang w:val="en-US" w:eastAsia="zh-CN"/>
              </w:rPr>
            </w:pPr>
            <w:r>
              <w:rPr>
                <w:rFonts w:hint="eastAsia" w:ascii="宋体" w:hAnsi="宋体" w:eastAsia="宋体" w:cs="宋体"/>
                <w:i w:val="0"/>
                <w:iCs w:val="0"/>
                <w:color w:val="auto"/>
                <w:sz w:val="22"/>
                <w:szCs w:val="22"/>
                <w:u w:val="none"/>
                <w:lang w:val="en-US" w:eastAsia="zh-CN"/>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606"/>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yellow"/>
                <w:u w:val="none"/>
              </w:rPr>
              <w:suppressLineNumbers w:val="0"/>
            </w:pPr>
            <w:r>
              <w:rPr>
                <w:rFonts w:hint="eastAsia" w:ascii="宋体" w:hAnsi="宋体" w:eastAsia="宋体" w:cs="宋体"/>
                <w:i w:val="0"/>
                <w:iCs w:val="0"/>
                <w:color w:val="000000"/>
                <w:sz w:val="22"/>
                <w:szCs w:val="22"/>
                <w:u w:val="none"/>
                <w:lang w:val="en-US" w:eastAsia="zh-CN" w:bidi="ar"/>
              </w:rPr>
              <w:t xml:space="preserve">接入调试及辅材（含抱箍、电源、防雷、接地、电源线、网线等）</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lang w:val="en-US" w:eastAsia="zh-CN"/>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jc w:val="center"/>
          <w:trHeight w:val="1913"/>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在线率达标修复费（预计需更换摄像机95套，涉及重新取电、管线开挖敷设）</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lang w:val="en-US" w:eastAsia="zh-CN"/>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jc w:val="center"/>
          <w:trHeight w:val="941"/>
        </w:trPr>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77"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裸光纤网络传输</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rPr>
                <w:rFonts w:hint="default" w:ascii="宋体" w:hAnsi="宋体" w:eastAsia="宋体" w:cs="宋体"/>
                <w:i w:val="0"/>
                <w:iCs w:val="0"/>
                <w:color w:val="auto"/>
                <w:sz w:val="22"/>
                <w:szCs w:val="22"/>
                <w:highlight w:val="none"/>
                <w:u w:val="none"/>
                <w:lang w:val="en-US"/>
              </w:rPr>
            </w:pPr>
            <w:r>
              <w:rPr>
                <w:rFonts w:hint="eastAsia" w:ascii="宋体" w:hAnsi="宋体" w:eastAsia="宋体" w:cs="宋体"/>
                <w:i w:val="0"/>
                <w:iCs w:val="0"/>
                <w:color w:val="auto"/>
                <w:sz w:val="22"/>
                <w:szCs w:val="22"/>
                <w:highlight w:val="none"/>
                <w:u w:val="none"/>
                <w:lang w:val="en-US" w:eastAsia="zh-CN"/>
              </w:rPr>
              <w:t xml:space="preserve">1条</w:t>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t xml:space="preserve">运营商/定制；姑苏住建委服务器机房至城运中心机房的裸光纤租赁服务，服务期三年</w:t>
            </w:r>
            <w:r>
              <w:rPr>
                <w:rFonts w:hint="eastAsia" w:ascii="宋体" w:hAnsi="宋体" w:eastAsia="宋体" w:cs="宋体"/>
                <w:i w:val="0"/>
                <w:iCs w:val="0"/>
                <w:color w:val="auto"/>
                <w:sz w:val="22"/>
                <w:szCs w:val="22"/>
                <w:highlight w:val="none"/>
                <w:u w:val="none"/>
              </w:rPr>
              <w:tab/>
            </w:r>
            <w:r>
              <w:rPr>
                <w:rFonts w:hint="eastAsia" w:ascii="宋体" w:hAnsi="宋体" w:eastAsia="宋体" w:cs="宋体"/>
                <w:i w:val="0"/>
                <w:iCs w:val="0"/>
                <w:color w:val="auto"/>
                <w:sz w:val="22"/>
                <w:szCs w:val="22"/>
                <w:highlight w:val="none"/>
                <w:u w:val="none"/>
              </w:rPr>
              <w:tab/>
            </w:r>
            <w:r/>
          </w:p>
        </w:tc>
      </w:tr>
      <w:tr>
        <w:trPr>
          <w:jc w:val="center"/>
          <w:trHeight w:val="707"/>
        </w:trPr>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合 计（一）+（二）+（三）+（</w:t>
            </w:r>
            <w:r>
              <w:rPr>
                <w:rFonts w:hint="eastAsia" w:ascii="宋体" w:hAnsi="宋体" w:cs="宋体"/>
                <w:b/>
                <w:bCs/>
                <w:i w:val="0"/>
                <w:iCs w:val="0"/>
                <w:color w:val="auto"/>
                <w:sz w:val="22"/>
                <w:szCs w:val="22"/>
                <w:highlight w:val="none"/>
                <w:u w:val="none"/>
                <w:lang w:val="en-US" w:eastAsia="zh-CN" w:bidi="ar"/>
              </w:rPr>
              <w:t xml:space="preserve">四</w:t>
            </w:r>
            <w:r>
              <w:rPr>
                <w:rFonts w:hint="eastAsia" w:ascii="宋体" w:hAnsi="宋体" w:eastAsia="宋体" w:cs="宋体"/>
                <w:b/>
                <w:bCs/>
                <w:i w:val="0"/>
                <w:iCs w:val="0"/>
                <w:color w:val="auto"/>
                <w:sz w:val="22"/>
                <w:szCs w:val="22"/>
                <w:highlight w:val="none"/>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3"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r>
      <w:tr>
        <w:trPr>
          <w:jc w:val="center"/>
          <w:trHeight w:val="717"/>
        </w:trPr>
        <w:tc>
          <w:tcPr>
            <w:gridSpan w:val="2"/>
            <w:shd w:val="clear" w:color="auto" w:fill="auto"/>
            <w:tcBorders>
              <w:top w:val="single" w:color="000000" w:sz="4" w:space="0"/>
              <w:left w:val="single" w:color="000000" w:sz="4" w:space="0"/>
              <w:bottom w:val="single" w:color="000000" w:sz="4" w:space="0"/>
              <w:right w:val="single" w:color="000000" w:sz="4" w:space="0"/>
            </w:tcBorders>
            <w:tcW w:w="29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投标报价（万元）</w:t>
            </w:r>
            <w:r/>
          </w:p>
        </w:tc>
        <w:tc>
          <w:tcPr>
            <w:gridSpan w:val="5"/>
            <w:shd w:val="clear" w:color="auto" w:fill="auto"/>
            <w:tcBorders>
              <w:top w:val="single" w:color="000000" w:sz="4" w:space="0"/>
              <w:left w:val="none" w:color="000000" w:sz="4" w:space="0"/>
              <w:bottom w:val="single" w:color="000000" w:sz="4" w:space="0"/>
              <w:right w:val="none" w:color="000000" w:sz="4" w:space="0"/>
            </w:tcBorders>
            <w:tcW w:w="5795" w:type="dxa"/>
            <w:vAlign w:val="center"/>
            <w:textDirection w:val="lrTb"/>
            <w:noWrap w:val="false"/>
          </w:tcPr>
          <w:p>
            <w:pPr>
              <w:jc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如日常维护过程中存在设备损坏需要更换的，根据技防及相关规范要求、关联应用部门使用需求及现有设备参数，更换的主要设备应满足以下参数标准：</w:t>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主要设备1</w:t>
      </w:r>
      <w:r>
        <w:rPr>
          <w:rFonts w:hint="eastAsia" w:ascii="宋体" w:hAnsi="宋体" w:cs="宋体"/>
          <w:color w:val="auto"/>
          <w:sz w:val="24"/>
          <w:szCs w:val="24"/>
          <w:highlight w:val="none"/>
          <w:lang w:val="en-US" w:eastAsia="zh-CN"/>
        </w:rPr>
        <w:t xml:space="preserve">（200W枪型网络摄像机）</w:t>
      </w:r>
      <w:r>
        <w:rPr>
          <w:rFonts w:hint="eastAsia" w:ascii="宋体" w:hAnsi="宋体" w:eastAsia="宋体" w:cs="宋体"/>
          <w:color w:val="auto"/>
          <w:sz w:val="24"/>
          <w:szCs w:val="24"/>
          <w:highlight w:val="none"/>
          <w:lang w:val="en-US" w:eastAsia="zh-CN"/>
        </w:rPr>
        <w:t xml:space="preserve">技术参数</w:t>
      </w:r>
      <w:r/>
    </w:p>
    <w:tbl>
      <w:tblPr>
        <w:tblStyle w:val="71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jc w:val="center"/>
        </w:trPr>
        <w:tc>
          <w:tcPr>
            <w:tcW w:w="5000" w:type="pct"/>
            <w:textDirection w:val="lrTb"/>
            <w:noWrap w:val="false"/>
          </w:tcPr>
          <w:p>
            <w:pPr>
              <w:pStyle w:val="716"/>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1.最大分辨率：1920 × 1080。</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2.传感器类型：1/2.7" Progressive Scan CMOS。</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3.最低照度：彩色：0.01 Lux 。</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4.移动侦测（支持人形检测）与异常侦测。</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5.支持背光补偿，强光抑制，3D数字降噪，数字宽动态，适应不同环境。</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6.支持开放型网络视频接口，ISAPI，SDK，GB28181协议。</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7.视频压缩标准：主码流：H.265/H.264，支持Smart264/Smart265 ；子码流：H.265/H.264 。</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8.宽动态：数字宽动态 。</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9.音频：1个内置麦克风。</w:t>
            </w:r>
            <w:r/>
          </w:p>
          <w:p>
            <w:pPr>
              <w:pStyle w:val="716"/>
              <w:ind w:left="0" w:firstLine="0"/>
              <w:keepLines w:val="0"/>
              <w:keepNext w:val="0"/>
              <w:pageBreakBefore w:val="0"/>
              <w:spacing w:after="0"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10.防护：IP67 。</w:t>
            </w:r>
            <w:r/>
          </w:p>
        </w:tc>
      </w:tr>
    </w:tbl>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主要设备2</w:t>
      </w:r>
      <w:r>
        <w:rPr>
          <w:rFonts w:hint="eastAsia" w:ascii="宋体" w:hAnsi="宋体" w:cs="宋体"/>
          <w:color w:val="auto"/>
          <w:sz w:val="24"/>
          <w:szCs w:val="24"/>
          <w:highlight w:val="none"/>
          <w:lang w:val="en-US" w:eastAsia="zh-CN"/>
        </w:rPr>
        <w:t xml:space="preserve">（400W枪型网络摄像机）</w:t>
      </w:r>
      <w:r>
        <w:rPr>
          <w:rFonts w:hint="eastAsia" w:ascii="宋体" w:hAnsi="宋体" w:eastAsia="宋体" w:cs="宋体"/>
          <w:color w:val="auto"/>
          <w:sz w:val="24"/>
          <w:szCs w:val="24"/>
          <w:highlight w:val="none"/>
          <w:lang w:val="en-US" w:eastAsia="zh-CN"/>
        </w:rPr>
        <w:t xml:space="preserve">技术参数</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tc>
          <w:tcPr>
            <w:tcW w:w="9962" w:type="dxa"/>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最大</w:t>
            </w:r>
            <w:r>
              <w:rPr>
                <w:rFonts w:hint="eastAsia" w:ascii="宋体" w:hAnsi="宋体" w:eastAsia="宋体" w:cs="宋体"/>
                <w:color w:val="auto"/>
                <w:sz w:val="24"/>
                <w:szCs w:val="24"/>
                <w:highlight w:val="none"/>
                <w:lang w:val="en-US" w:eastAsia="zh-CN"/>
              </w:rPr>
              <w:t xml:space="preserve">分辨率</w:t>
            </w:r>
            <w:r>
              <w:rPr>
                <w:rFonts w:hint="eastAsia" w:ascii="宋体" w:hAnsi="宋体" w:eastAsia="宋体" w:cs="宋体"/>
                <w:color w:val="auto"/>
                <w:sz w:val="24"/>
                <w:szCs w:val="24"/>
                <w:highlight w:val="none"/>
              </w:rPr>
              <w:t xml:space="preserve">：2560 × 1440</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传感器类型：1/1.8" Progressive Scan CMOS</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最低照度：彩色：0.0005 Lux</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智能侦测：支持越界侦测，区域入侵侦测</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支持背光补偿，强光抑制，3D数字降噪，120 dB宽动态适应不同监控环境</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支持柔光灯补光，照射距离最远可达30m</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宽动态：120 dB</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视频压缩标准：主码流：H.265/H.264，支持smart 264/265</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子码流：H.265/H.264/MJPEG</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音频：1个内置麦克风</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防护：IP67</w:t>
            </w:r>
            <w:r>
              <w:rPr>
                <w:rFonts w:hint="eastAsia" w:ascii="宋体" w:hAnsi="宋体" w:eastAsia="宋体" w:cs="宋体"/>
                <w:color w:val="auto"/>
                <w:sz w:val="24"/>
                <w:szCs w:val="24"/>
                <w:highlight w:val="none"/>
                <w:lang w:eastAsia="zh-CN"/>
              </w:rPr>
              <w:t xml:space="preserve">。</w:t>
            </w:r>
            <w:r/>
          </w:p>
        </w:tc>
      </w:tr>
    </w:tbl>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主要设备3</w:t>
      </w:r>
      <w:r>
        <w:rPr>
          <w:rFonts w:hint="eastAsia" w:ascii="宋体" w:hAnsi="宋体" w:cs="宋体"/>
          <w:color w:val="auto"/>
          <w:sz w:val="24"/>
          <w:szCs w:val="24"/>
          <w:highlight w:val="none"/>
          <w:lang w:val="en-US" w:eastAsia="zh-CN"/>
        </w:rPr>
        <w:t xml:space="preserve">（400W智能枪型网络摄像机）</w:t>
      </w:r>
      <w:r>
        <w:rPr>
          <w:rFonts w:hint="eastAsia" w:ascii="宋体" w:hAnsi="宋体" w:eastAsia="宋体" w:cs="宋体"/>
          <w:color w:val="auto"/>
          <w:sz w:val="24"/>
          <w:szCs w:val="24"/>
          <w:highlight w:val="none"/>
          <w:lang w:val="en-US" w:eastAsia="zh-CN"/>
        </w:rPr>
        <w:t xml:space="preserve">技术参数</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tc>
          <w:tcPr>
            <w:tcW w:w="9962" w:type="dxa"/>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支持多种智能模式：全结构化（默认）、人脸抓拍、人脸比对、道路监控、Smart事件、人数统计、热度图、智慧城管，多种智能模式可按需切换</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支持电量检测：支持设备功耗检测，支持设备功耗报表展示</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设备内置电动变焦镜头，操作便易，变焦过程平稳</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设备内置2个麦克风，内置1个扬声器，支持语音对讲</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▲内置GPU芯片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支持周界防范功能，当区域入侵、越界侦测、进入区域、离开区域报警布防开启后，出现行人、非机动车、机动车目标时能触发报警，当检测区域中篮球滚动、小狗移动、树叶晃动及光线明暗变化时不会触发报警。</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▲支持人数统计功能，可设置最多8个人数统计区域，区域名称可自定义；可设置人员密度报警、人数异常报警、停留时间异常报警，每个人数统计区域可设置最多3种报警类型。</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内置鳞镜式补光灯，灯杯为半弧形网格鳞片状</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▲灯珠朝向与样机照射方向不同，补光灯开启后正面不可见补光灯灯珠。补光灯开启后灯光均匀无波纹、麻点状、条纹状和不规则亮斑。</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最高分辨率可达400万像素，并在此分辨率下可输出30 fps实时图像，图像更流畅，支持透雾、电子防抖，支持宽动态120 dB</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支持三级用户权限管理，支持授权的用户和密码，支持IP地址过滤</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音频：2路输入，1路输出，报警：3路输入，2路输出</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最低照度：彩色：0.0005 Lux @（F1.2，AGC ON），0 Lux with Light</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黑白：0.0001 Lux @（F1.2，AGC ON），0 Lux with IR</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传感器类型：1/1.8" Progressive Scan CMOS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防护：IP67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tc>
      </w:tr>
    </w:tbl>
    <w:p>
      <w:pPr>
        <w:pStyle w:val="716"/>
        <w:rPr>
          <w:rFonts w:hint="eastAsia"/>
          <w:color w:val="auto"/>
          <w:highlight w:val="none"/>
          <w:lang w:val="en-US" w:eastAsia="zh-CN"/>
        </w:rPr>
      </w:pPr>
      <w:r>
        <w:rPr>
          <w:rFonts w:hint="eastAsia"/>
          <w:color w:val="auto"/>
          <w:highlight w:val="none"/>
          <w:lang w:val="en-US" w:eastAsia="zh-CN"/>
        </w:rPr>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主要设备4</w:t>
      </w:r>
      <w:r>
        <w:rPr>
          <w:rFonts w:hint="eastAsia" w:ascii="宋体" w:hAnsi="宋体" w:cs="宋体"/>
          <w:color w:val="auto"/>
          <w:sz w:val="24"/>
          <w:szCs w:val="24"/>
          <w:highlight w:val="none"/>
          <w:lang w:val="en-US" w:eastAsia="zh-CN"/>
        </w:rPr>
        <w:t xml:space="preserve">（400W普通球型摄像机）</w:t>
      </w:r>
      <w:r>
        <w:rPr>
          <w:rFonts w:hint="eastAsia" w:ascii="宋体" w:hAnsi="宋体" w:eastAsia="宋体" w:cs="宋体"/>
          <w:color w:val="auto"/>
          <w:sz w:val="24"/>
          <w:szCs w:val="24"/>
          <w:highlight w:val="none"/>
          <w:lang w:val="en-US" w:eastAsia="zh-CN"/>
        </w:rPr>
        <w:t xml:space="preserve">技术参数</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tc>
          <w:tcPr>
            <w:tcW w:w="9962" w:type="dxa"/>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400万23倍光学变倍，16倍数字变倍</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支持区域入侵、越界等智能侦测并联动跟随</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支持最大2560×1440@30fps高清画面输出</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内置加热玻璃，有效除雾</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传感器类型：1/2.8＂ progressive scan CMOS</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最低照度：彩色：0.005Lux @ (F1.6，AGC ON)；黑白：0.001Lux @(F1.6，AGC ON) ；0 Lux with IR</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焦距：4.8 mm~110 mm，23倍光学变倍</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视场角：水平视场角：55°~2.7°（广角~望远）</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垂直视场角：33°~1.5°（广角~望远）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对角视场角：61.5°~3.1°（广角~望远）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内置麦克风：支持双mic功能，拾音距离8 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防护：IP66，符合GB/T 17626.5 认证标准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highlight w:val="none"/>
              </w:rPr>
              <w:t xml:space="preserve"> </w:t>
            </w:r>
            <w:r/>
          </w:p>
        </w:tc>
      </w:tr>
    </w:tbl>
    <w:p>
      <w:pPr>
        <w:pStyle w:val="716"/>
        <w:rPr>
          <w:rFonts w:hint="eastAsia"/>
          <w:color w:val="auto"/>
          <w:highlight w:val="none"/>
          <w:lang w:val="en-US" w:eastAsia="zh-CN"/>
        </w:rPr>
      </w:pPr>
      <w:r>
        <w:rPr>
          <w:rFonts w:hint="eastAsia"/>
          <w:color w:val="auto"/>
          <w:highlight w:val="none"/>
          <w:lang w:val="en-US" w:eastAsia="zh-CN"/>
        </w:rPr>
      </w:r>
      <w:r/>
    </w:p>
    <w:p>
      <w:pPr>
        <w:ind w:left="0" w:firstLine="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主要设备5</w:t>
      </w:r>
      <w:r>
        <w:rPr>
          <w:rFonts w:hint="eastAsia" w:ascii="宋体" w:hAnsi="宋体" w:cs="宋体"/>
          <w:color w:val="auto"/>
          <w:sz w:val="24"/>
          <w:szCs w:val="24"/>
          <w:highlight w:val="none"/>
          <w:lang w:val="en-US" w:eastAsia="zh-CN"/>
        </w:rPr>
        <w:t xml:space="preserve">（400W智能球型摄像机）</w:t>
      </w:r>
      <w:r>
        <w:rPr>
          <w:rFonts w:hint="eastAsia" w:ascii="宋体" w:hAnsi="宋体" w:eastAsia="宋体" w:cs="宋体"/>
          <w:color w:val="auto"/>
          <w:sz w:val="24"/>
          <w:szCs w:val="24"/>
          <w:highlight w:val="none"/>
          <w:lang w:val="en-US" w:eastAsia="zh-CN"/>
        </w:rPr>
        <w:t xml:space="preserve">技术参数</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tc>
          <w:tcPr>
            <w:tcW w:w="9962" w:type="dxa"/>
            <w:textDirection w:val="lrTb"/>
            <w:noWrap w:val="false"/>
          </w:tcPr>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400万35倍光学变倍，16倍数字变倍</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全抓拍：支持人、非机动车、车辆混行检测，可同时对人、非机动车、车辆进行抓拍并可对车牌识别提取</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道路监控：细节支持车辆检测（支持车牌识别，车型/车身颜色/车牌颜色识别）和混行检测</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AI-ISP：采用去噪卷积神经网络将深度结构、学习算法用于图像去噪，最终使画面成像更新清晰，噪点更小图像更干净</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支持最大2688x1520@30fps高清画面输出</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支持光学透雾技术，提升画面透雾效果</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▲摄像机内置2个图像传感器，可分别输出黑白视频图像和彩色视频图像，并可对这两路视频图像进行融合输出</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▲设备smart事件上报的抓图支持叠加规则区域和目标框：可配置报警抓图叠加目标信息及规则信息，支持开启及关闭。支持设置预览画面是否叠加显示规则区域框及告警提示信息</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▲设备支持可从诊断信息中导出云台控制历史记录，包括：手动键控PTZ、3D定位、手动调用预置点、手动调用花扫、手动调用巡航</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传感器类型：1/1.8＂progressive scan CMOS，双sensor架构</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最低照度：彩色：0.0004 Lux @（F1.6，AGC ON），黑白：0.0001 Lux @（F1.6，AGC ON），0 Lux with IR</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焦距： 5.9~206.5 mm</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视场角：58.9°~2.2°（广角~望远）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补光灯距离：250 m</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防补光过曝：支持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水平范围：360°</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垂直范围：-20°~90°（自动翻转）</w:t>
            </w:r>
            <w:r>
              <w:rPr>
                <w:rFonts w:hint="eastAsia" w:ascii="宋体" w:hAnsi="宋体" w:eastAsia="宋体" w:cs="宋体"/>
                <w:color w:val="auto"/>
                <w:sz w:val="24"/>
                <w:szCs w:val="24"/>
                <w:highlight w:val="none"/>
                <w:lang w:eastAsia="zh-CN"/>
              </w:rPr>
              <w:t xml:space="preserve">。</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防护：IP67；6000 V防雷、防浪涌、防突波，符合GB/T17626.2/3/4/5/6四级标准</w:t>
            </w:r>
            <w:r>
              <w:rPr>
                <w:rFonts w:hint="eastAsia" w:ascii="宋体" w:hAnsi="宋体" w:eastAsia="宋体" w:cs="宋体"/>
                <w:color w:val="auto"/>
                <w:sz w:val="24"/>
                <w:szCs w:val="24"/>
                <w:highlight w:val="none"/>
                <w:lang w:eastAsia="zh-CN"/>
              </w:rPr>
              <w:t xml:space="preserve">。</w:t>
            </w:r>
            <w:r/>
          </w:p>
        </w:tc>
      </w:tr>
    </w:tbl>
    <w:p>
      <w:p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投标单位需承诺所提供的设备能够至少满足以上要求，并出具承诺函。</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）服务目标</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1.维保开始截止时间自</w:t>
      </w:r>
      <w:r>
        <w:rPr>
          <w:rFonts w:hint="eastAsia" w:ascii="宋体" w:hAnsi="宋体" w:cs="宋体"/>
          <w:color w:val="000000"/>
          <w:sz w:val="24"/>
          <w:szCs w:val="24"/>
          <w:highlight w:val="none"/>
          <w:lang w:eastAsia="zh-CN"/>
        </w:rPr>
        <w:t xml:space="preserve">2026年1月30日至2029年1月29日</w:t>
      </w:r>
      <w:r>
        <w:rPr>
          <w:rFonts w:hint="eastAsia" w:ascii="宋体" w:hAnsi="宋体" w:eastAsia="宋体" w:cs="宋体"/>
          <w:color w:val="000000"/>
          <w:sz w:val="24"/>
          <w:szCs w:val="24"/>
          <w:highlight w:val="none"/>
        </w:rPr>
        <w:t xml:space="preserve">。 实际开始时间以上年维保到期并办理好移交手续的时间为准。 在服务期内，由成交单位提供服务设备的日常运行维护服务、专线传输、接入调试、维修维护、已损坏设备更换（预计</w:t>
      </w:r>
      <w:r>
        <w:rPr>
          <w:rFonts w:hint="eastAsia" w:ascii="宋体" w:hAnsi="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rPr>
        <w:t xml:space="preserve">套摄像机更换）、施工、提供辅材。</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.对于已接入姑苏区城市运行联动中心的视频监控公共共享平台的区域做好日常维护工作，未接入的区域需服务单位将其接入平台后进行维护工作；平时要对设备进行定期的预防性维护，做好</w:t>
      </w:r>
      <w:r>
        <w:rPr>
          <w:rFonts w:hint="eastAsia" w:ascii="宋体" w:hAnsi="宋体" w:eastAsia="宋体" w:cs="宋体"/>
          <w:color w:val="auto"/>
          <w:sz w:val="24"/>
          <w:szCs w:val="24"/>
          <w:highlight w:val="none"/>
          <w:lang w:val="en-US" w:eastAsia="zh-CN"/>
        </w:rPr>
        <w:t xml:space="preserve">监控设备</w:t>
      </w:r>
      <w:r>
        <w:rPr>
          <w:rFonts w:hint="eastAsia" w:ascii="宋体" w:hAnsi="宋体" w:eastAsia="宋体" w:cs="宋体"/>
          <w:color w:val="auto"/>
          <w:sz w:val="24"/>
          <w:szCs w:val="24"/>
          <w:highlight w:val="none"/>
        </w:rPr>
        <w:t xml:space="preserve">运行的调优工作，及时发现监控设备存在的潜在隐患</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3.接入</w:t>
      </w:r>
      <w:r>
        <w:rPr>
          <w:rFonts w:hint="eastAsia" w:ascii="宋体" w:hAnsi="宋体" w:eastAsia="宋体" w:cs="宋体"/>
          <w:color w:val="auto"/>
          <w:sz w:val="24"/>
          <w:szCs w:val="24"/>
          <w:highlight w:val="none"/>
        </w:rPr>
        <w:t xml:space="preserve">姑苏区城市运行联动中心的视频监控</w:t>
      </w:r>
      <w:r>
        <w:rPr>
          <w:rFonts w:hint="eastAsia" w:ascii="宋体" w:hAnsi="宋体" w:cs="宋体"/>
          <w:color w:val="auto"/>
          <w:sz w:val="24"/>
          <w:szCs w:val="24"/>
          <w:highlight w:val="none"/>
          <w:lang w:val="en-US" w:eastAsia="zh-CN"/>
        </w:rPr>
        <w:t xml:space="preserve">部分费用包含在本次投标范围，响应单位在投标报价中综合考虑。</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4.因</w:t>
      </w:r>
      <w:r>
        <w:rPr>
          <w:rFonts w:hint="eastAsia" w:ascii="宋体" w:hAnsi="宋体" w:eastAsia="宋体" w:cs="宋体"/>
          <w:color w:val="auto"/>
          <w:sz w:val="24"/>
          <w:szCs w:val="24"/>
          <w:highlight w:val="none"/>
        </w:rPr>
        <w:t xml:space="preserve">本次项目需要运维的监控点位</w:t>
      </w:r>
      <w:r>
        <w:rPr>
          <w:rFonts w:hint="eastAsia" w:ascii="宋体" w:hAnsi="宋体" w:cs="宋体"/>
          <w:color w:val="auto"/>
          <w:sz w:val="24"/>
          <w:szCs w:val="24"/>
          <w:highlight w:val="none"/>
          <w:lang w:val="en-US" w:eastAsia="zh-CN"/>
        </w:rPr>
        <w:t xml:space="preserve">数量较多、区域分散、周期较长，考虑与</w:t>
      </w:r>
      <w:r>
        <w:rPr>
          <w:rFonts w:hint="eastAsia" w:ascii="宋体" w:hAnsi="宋体" w:eastAsia="宋体" w:cs="宋体"/>
          <w:color w:val="auto"/>
          <w:sz w:val="24"/>
          <w:szCs w:val="24"/>
          <w:highlight w:val="none"/>
        </w:rPr>
        <w:t xml:space="preserve">姑苏区城市运行联动中心</w:t>
      </w:r>
      <w:r>
        <w:rPr>
          <w:rFonts w:hint="eastAsia" w:ascii="宋体" w:hAnsi="宋体" w:cs="宋体"/>
          <w:color w:val="auto"/>
          <w:sz w:val="24"/>
          <w:szCs w:val="24"/>
          <w:highlight w:val="none"/>
          <w:lang w:val="en-US" w:eastAsia="zh-CN"/>
        </w:rPr>
        <w:t xml:space="preserve">对接的持续性、保障视频监控在线率达标的要求以及满足未接入部分的接入时间需求，响应单位需派遣专人驻场联动中心进行服务保障；同时，为了及时处理维修、投诉等事件，提高日常服务效率，成交供应商需在中标后向采购单位提供专业化管理工具，该工具</w:t>
      </w:r>
      <w:r>
        <w:rPr>
          <w:rFonts w:hint="eastAsia" w:ascii="宋体" w:hAnsi="宋体" w:eastAsia="宋体" w:cs="宋体"/>
          <w:color w:val="auto"/>
          <w:sz w:val="24"/>
          <w:szCs w:val="24"/>
          <w:highlight w:val="none"/>
        </w:rPr>
        <w:t xml:space="preserve">需包含基础运维可视化、工单可视化、视质可视化、设备标签管理等</w:t>
      </w:r>
      <w:r>
        <w:rPr>
          <w:rFonts w:hint="eastAsia" w:ascii="宋体" w:hAnsi="宋体" w:cs="宋体"/>
          <w:color w:val="auto"/>
          <w:sz w:val="24"/>
          <w:szCs w:val="24"/>
          <w:highlight w:val="none"/>
          <w:lang w:val="en-US" w:eastAsia="zh-CN"/>
        </w:rPr>
        <w:t xml:space="preserve">功能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且具备双向工单填报通道，除成交供应商本身通过该工具对日常维护进行统一填报管理外，采购单位也可通过该工具派发工单、投诉等维修服务内容，</w:t>
      </w:r>
      <w:r>
        <w:rPr>
          <w:rFonts w:hint="eastAsia" w:ascii="宋体" w:hAnsi="宋体" w:eastAsia="宋体" w:cs="宋体"/>
          <w:color w:val="auto"/>
          <w:sz w:val="24"/>
          <w:szCs w:val="24"/>
          <w:highlight w:val="none"/>
        </w:rPr>
        <w:t xml:space="preserve">方便统一指挥调度，保证问题能得到及时处理</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）服务要求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单位对现有设备开展日常维保工作，包括线路维护、汇聚设备维护、摄像机维护、存储设备及其附属设备维护。通过维护，发现存在故障及隐患，及时响应解决故障及隐患，对所有已经出保的设备提供服务期内的设备硬件保修服务。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2.服务单位派遣技术人员进行日常服务，排除监控设备故障、网络通讯故障，保障整个监控设备系统的正常运行。完好率须达到90%以上（道路施工、点位迁移等因素除外）；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3.定期开展监控设备巡检，及时发现设备损坏和功能异常，做好巡检记录。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4.成交单位不少于每个月一次全量设备检查、测试运行、记录设备运行工况，由甲方负责人签字确认无误后留底保，检查过程中发现存在故障且无法技术修复的设备由乙方负责更换。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5.突发事件应急处理，</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后编制应急处置方案，制定应急处置流程，并定期开展应急演练，提高人员应急响应能力。</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6.依据姑苏区统一视频平台接入要求，服务单位需将维保清单涉及区域的监控点位接入姑苏区城市运行联动中心的视频监控公共共享平台，实现面向全区政务部门的视频资源共享</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现有视频平台运行在区政务网环境，各单位视频监控资源需确保与中心平台网络互通，其监控视频资源应通过搭建视频网（互联网或视频专线）接至中心平台。</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各单位应将所有前端设备汇聚至支持GB/T 28181国际协议的视频监控总平台，由各自视频监控总平台与中心平台对接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单位需依据相关管理要求，对接入视频提供视频标签梳理工作，在项目维护过程中涉及监控点位一机一或多标签信息变更，必须及时完成，保证信息更新的及时性和准确性，服务单位需依据区统一地理信息平台坐标系要求，提供监控坐标点位校正服务，确保提供的监控坐标信息在地图上标注准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.服务单位对采购单位的重大事件、重大活动、重要的节假日旅游出行进行技术支持和现场保障服务。（如一年一度的“两会”、马拉松、文明典范城市创建等群体性活动保障等需要配合公安部门和苏州市姑苏区</w:t>
      </w:r>
      <w:r>
        <w:rPr>
          <w:rFonts w:hint="eastAsia" w:ascii="宋体" w:hAnsi="宋体" w:cs="宋体"/>
          <w:color w:val="000000"/>
          <w:sz w:val="24"/>
          <w:szCs w:val="24"/>
          <w:highlight w:val="none"/>
          <w:lang w:val="en-US" w:eastAsia="zh-CN"/>
        </w:rPr>
        <w:t xml:space="preserve">政务信息</w:t>
      </w:r>
      <w:r>
        <w:rPr>
          <w:rFonts w:hint="eastAsia" w:ascii="宋体" w:hAnsi="宋体" w:eastAsia="宋体" w:cs="宋体"/>
          <w:color w:val="000000"/>
          <w:sz w:val="24"/>
          <w:szCs w:val="24"/>
          <w:highlight w:val="none"/>
        </w:rPr>
        <w:t xml:space="preserve">中心做好相关保障工作，保障活动现场监控点的正常运行、故障修复、调取录像等，保障活动的顺利进行）。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具体要求如下：</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a.保障任务所涉及到监控点位的前端及中心端须根据规模分别安排一定数量的专业工程技术人员进行保障。同时配备技术人员在采购单位或组委会指定地点进行24 小时值班，随时响应。</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所有技术人员须做到实时响应、随时排除故障，并配合采购单位或组委会完成交办的其他紧急任务。同时必须保障所涉点位视频监控图像的完好率，并做好增加临时点位、点位移位、摄像机角度调整等工作的施工准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c.所有的保障任务涉及的费用包含在本次报价中。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9.服务单位派遣不少于4位</w:t>
      </w:r>
      <w:r>
        <w:rPr>
          <w:rFonts w:hint="eastAsia" w:ascii="宋体" w:hAnsi="宋体" w:cs="宋体"/>
          <w:color w:val="000000"/>
          <w:sz w:val="24"/>
          <w:szCs w:val="24"/>
          <w:highlight w:val="none"/>
          <w:lang w:val="en-US" w:eastAsia="zh-CN"/>
        </w:rPr>
        <w:t xml:space="preserve">项目组成员</w:t>
      </w:r>
      <w:r>
        <w:rPr>
          <w:rFonts w:hint="eastAsia" w:ascii="宋体" w:hAnsi="宋体" w:eastAsia="宋体" w:cs="宋体"/>
          <w:color w:val="000000"/>
          <w:sz w:val="24"/>
          <w:szCs w:val="24"/>
          <w:highlight w:val="none"/>
        </w:rPr>
        <w:t xml:space="preserve">（其中项目负责人1位，项目技术负责人1位）进行服务。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10.维修时限要求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当监控设备发生故障，成交单位需2小时内响应（即在接到采购单位的维修要求后，做出具体的维修安排），4小时内到达现场进行维修，同时需满足下列要求：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（1）故障导致监控平台不能正常运行成交单位应在4 小时内恢复；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（2）外场设备故障成交单位应在8小时内恢复；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（3）故障不影响平台系统运行则成交单位应在24 小时内恢复；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（4）特殊原因导致的故障，如停电原因、道路施工、点位迁移、不可抗力（含极端天气）等因素，则对成交单位响应时间从特殊原因解除后开始计算；</w:t>
      </w:r>
      <w:r/>
    </w:p>
    <w:p>
      <w:pPr>
        <w:ind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项目将根据服务的质量、效率、专业性进行定期量化考核，为了保证维保工作按时按质完成，采购单位制定考核制度，根据每月考核评分情况计算平均考核得分。对维保工作未达标的评分情况予以扣除相应比例的维保费，具体考核内容如下：</w:t>
      </w:r>
      <w:r/>
    </w:p>
    <w:p>
      <w:pPr>
        <w:jc w:val="center"/>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运维服务考核表</w:t>
      </w:r>
      <w:r/>
    </w:p>
    <w:tbl>
      <w:tblPr>
        <w:tblStyle w:val="694"/>
        <w:tblW w:w="922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89"/>
        <w:gridCol w:w="5743"/>
        <w:gridCol w:w="1493"/>
      </w:tblGrid>
      <w:tr>
        <w:trPr>
          <w:jc w:val="center"/>
          <w:trHeight w:val="317"/>
        </w:trPr>
        <w:tc>
          <w:tcPr>
            <w:tcBorders>
              <w:top w:val="single" w:color="auto" w:sz="12" w:space="0"/>
              <w:left w:val="single" w:color="auto" w:sz="12" w:space="0"/>
              <w:bottom w:val="single" w:color="auto" w:sz="6" w:space="0"/>
              <w:right w:val="single" w:color="auto" w:sz="6" w:space="0"/>
            </w:tcBorders>
            <w:tcW w:w="1989" w:type="dxa"/>
            <w:vAlign w:val="center"/>
            <w:textDirection w:val="lrTb"/>
            <w:noWrap w:val="false"/>
          </w:tcPr>
          <w:p>
            <w:pPr>
              <w:jc w:val="cente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Borders>
              <w:top w:val="single" w:color="auto" w:sz="12" w:space="0"/>
              <w:left w:val="single" w:color="auto" w:sz="6" w:space="0"/>
              <w:bottom w:val="single" w:color="auto" w:sz="6" w:space="0"/>
              <w:right w:val="single" w:color="auto" w:sz="6" w:space="0"/>
            </w:tcBorders>
            <w:tcW w:w="5743" w:type="dxa"/>
            <w:vAlign w:val="center"/>
            <w:textDirection w:val="lrTb"/>
            <w:noWrap w:val="false"/>
          </w:tcPr>
          <w:p>
            <w:pPr>
              <w:jc w:val="cente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c>
          <w:tcPr>
            <w:tcBorders>
              <w:top w:val="single" w:color="auto" w:sz="12" w:space="0"/>
              <w:left w:val="single" w:color="auto" w:sz="6" w:space="0"/>
              <w:bottom w:val="single" w:color="auto" w:sz="6" w:space="0"/>
              <w:right w:val="single" w:color="auto" w:sz="12" w:space="0"/>
            </w:tcBorders>
            <w:tcW w:w="1493" w:type="dxa"/>
            <w:vAlign w:val="center"/>
            <w:textDirection w:val="lrTb"/>
            <w:noWrap w:val="false"/>
          </w:tcPr>
          <w:p>
            <w:pPr>
              <w:jc w:val="cente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restart"/>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基础管理（25分）</w:t>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工作计划管理，由维护单位提交年度工作计划方案，根据方案的优劣进行打分。</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每两个月一次设备运行状况检查记录表，需使用方确认，少一张扣1分；扣完为止。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用户主动报修故障修复确认记录，缺失一份扣1分；扣完为止。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restart"/>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质量管理（55分）</w:t>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硬件设备完好率达到90%以上（道路施工、点位迁移等因素除外），每降低一个百分点扣1分；扣完为止。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故障未在合同规定时间内修复，无特殊原因，每次扣2分，扣完为止。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监控图像质量、字符叠加符合标准。每发生一次通报扣1分，扣完为止。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软件系统未出现重大故障，上级软件系统原因除外，每出现一次扣1分，扣完为止。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发生网络混接、被上级部门通报的，一次扣5分。</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spacing w:line="360" w:lineRule="auto"/>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restart"/>
            <w:textDirection w:val="lrTb"/>
            <w:noWrap w:val="false"/>
          </w:tcPr>
          <w:p>
            <w:pPr>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现场监督巡查（20分）</w:t>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维护人员着装整理，态度和蔼，每违规一次扣1分，扣完为止。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维护人员在工作过程中，有意无意听、看到与本职工作无关的事件，案件、对外透露，每发现一次扣2分，造成恶劣影响的，直接扣10分。造成严重后果的，追究当事人法律责任。</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10分</w:t>
            </w:r>
            <w:r/>
          </w:p>
        </w:tc>
      </w:tr>
      <w:tr>
        <w:trPr>
          <w:jc w:val="center"/>
          <w:trHeight w:val="253"/>
        </w:trPr>
        <w:tc>
          <w:tcPr>
            <w:tcBorders>
              <w:top w:val="single" w:color="auto" w:sz="6" w:space="0"/>
              <w:left w:val="single" w:color="auto" w:sz="12" w:space="0"/>
              <w:bottom w:val="single" w:color="auto" w:sz="12" w:space="0"/>
              <w:right w:val="single" w:color="auto" w:sz="6" w:space="0"/>
            </w:tcBorders>
            <w:tcW w:w="198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物业反馈（5分）</w:t>
            </w:r>
            <w:r/>
          </w:p>
        </w:tc>
        <w:tc>
          <w:tcPr>
            <w:tcBorders>
              <w:top w:val="single" w:color="auto" w:sz="6" w:space="0"/>
              <w:left w:val="single" w:color="auto" w:sz="6" w:space="0"/>
              <w:bottom w:val="single" w:color="auto" w:sz="12" w:space="0"/>
              <w:right w:val="single" w:color="auto" w:sz="6" w:space="0"/>
            </w:tcBorders>
            <w:tcW w:w="5743" w:type="dxa"/>
            <w:vAlign w:val="center"/>
            <w:textDirection w:val="lrTb"/>
            <w:noWrap w:val="false"/>
          </w:tcPr>
          <w:p>
            <w:pPr>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各小区物业对为维护工作投诉，每发现一次扣1分，扣完为止。</w:t>
            </w:r>
            <w:r/>
          </w:p>
        </w:tc>
        <w:tc>
          <w:tcPr>
            <w:tcBorders>
              <w:top w:val="single" w:color="auto" w:sz="6" w:space="0"/>
              <w:left w:val="single" w:color="auto" w:sz="6" w:space="0"/>
              <w:bottom w:val="single" w:color="auto" w:sz="12" w:space="0"/>
              <w:right w:val="single" w:color="auto" w:sz="12" w:space="0"/>
            </w:tcBorders>
            <w:tcW w:w="1493" w:type="dxa"/>
            <w:vAlign w:val="center"/>
            <w:textDirection w:val="lrTb"/>
            <w:noWrap w:val="false"/>
          </w:tcPr>
          <w:p>
            <w:pPr>
              <w:ind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w:t>
            </w:r>
            <w:r/>
          </w:p>
        </w:tc>
      </w:tr>
    </w:tbl>
    <w:p>
      <w:pPr>
        <w:ind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（1）当考核结果≥90分时，甲方可按合同全额付款。</w:t>
      </w:r>
      <w:r/>
    </w:p>
    <w:p>
      <w:pPr>
        <w:ind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（2）90分＞考核结果≥80分，实际付款金额=应付金额*90%</w:t>
      </w:r>
      <w:r/>
    </w:p>
    <w:p>
      <w:pPr>
        <w:ind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（3）80分＞考核结果≥70分，实际付款金额=应付金额*70%</w:t>
      </w:r>
      <w:r/>
    </w:p>
    <w:p>
      <w:pPr>
        <w:ind w:firstLine="480"/>
        <w:keepLines w:val="0"/>
        <w:keepNext w:val="0"/>
        <w:pageBreakBefore w:val="0"/>
        <w:spacing w:line="360" w:lineRule="auto"/>
        <w:widowControl w:val="off"/>
        <w:tabs>
          <w:tab w:val="left" w:pos="420" w:leader="none"/>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（4）70分＞考核结果≥60分，实际付款金额=应付金额*50%</w:t>
      </w:r>
      <w:r/>
    </w:p>
    <w:p>
      <w:pPr>
        <w:ind w:right="31" w:firstLine="482"/>
        <w:spacing w:line="360" w:lineRule="auto"/>
        <w:rPr>
          <w:rFonts w:hint="default" w:ascii="宋体" w:hAnsi="宋体" w:eastAsia="宋体" w:cs="宋体"/>
          <w:b w:val="0"/>
          <w:bCs/>
          <w:sz w:val="24"/>
          <w:szCs w:val="24"/>
          <w:highlight w:val="none"/>
          <w:lang w:val="en-US" w:eastAsia="zh-CN" w:bidi="ar-SA"/>
        </w:rPr>
      </w:pPr>
      <w:r>
        <w:rPr>
          <w:rFonts w:hint="default" w:ascii="宋体" w:hAnsi="宋体" w:eastAsia="宋体" w:cs="宋体"/>
          <w:b w:val="0"/>
          <w:bCs/>
          <w:sz w:val="24"/>
          <w:szCs w:val="24"/>
          <w:highlight w:val="none"/>
          <w:lang w:val="en-US" w:eastAsia="zh-CN" w:bidi="ar-SA"/>
        </w:rPr>
      </w:r>
      <w:r/>
    </w:p>
    <w:p>
      <w:pPr>
        <w:numPr>
          <w:ilvl w:val="0"/>
          <w:numId w:val="0"/>
        </w:num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b/>
          <w:bCs/>
          <w:sz w:val="24"/>
          <w:szCs w:val="24"/>
          <w:highlight w:val="none"/>
        </w:rPr>
        <w:t xml:space="preserve">综合说明及其它要求：</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1</w:t>
      </w:r>
      <w:r>
        <w:rPr>
          <w:rFonts w:hint="eastAsia" w:ascii="宋体" w:hAnsi="宋体" w:eastAsia="宋体" w:cs="Times New Roman"/>
          <w:sz w:val="24"/>
          <w:szCs w:val="21"/>
          <w:highlight w:val="none"/>
        </w:rPr>
        <w:t xml:space="preserve">、投标人必须承诺响应招标文件中提出的全部技术标准和服务要求，如果其中某些条款不响应时，应在文件中逐条列出，未列出的视同响应。</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2</w:t>
      </w:r>
      <w:r>
        <w:rPr>
          <w:rFonts w:hint="eastAsia" w:ascii="宋体" w:hAnsi="宋体" w:eastAsia="宋体" w:cs="Times New Roman"/>
          <w:sz w:val="24"/>
          <w:szCs w:val="21"/>
          <w:highlight w:val="none"/>
        </w:rPr>
        <w:t xml:space="preserve">、投标人应对所投项目的全部内容进行报价，只投其中部分内容者，其标书将被拒绝。</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的”相关处理办法处理。</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lang w:val="zh-TW"/>
        </w:rPr>
      </w:pP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、投标总报价一次报定，</w:t>
      </w:r>
      <w:r>
        <w:rPr>
          <w:rFonts w:hint="eastAsia" w:ascii="宋体" w:hAnsi="宋体" w:cs="Times New Roman"/>
          <w:sz w:val="24"/>
          <w:szCs w:val="21"/>
          <w:highlight w:val="none"/>
          <w:lang w:val="en-US" w:eastAsia="zh-CN"/>
        </w:rPr>
        <w:t xml:space="preserve">报价包括</w:t>
      </w:r>
      <w:r>
        <w:rPr>
          <w:rFonts w:hint="eastAsia" w:ascii="宋体" w:hAnsi="宋体" w:eastAsia="宋体" w:cs="Times New Roman"/>
          <w:sz w:val="24"/>
          <w:szCs w:val="21"/>
          <w:highlight w:val="none"/>
        </w:rPr>
        <w:t xml:space="preserve">完成本项目服务内容所需</w:t>
      </w:r>
      <w:r>
        <w:rPr>
          <w:rFonts w:hint="eastAsia" w:ascii="宋体" w:hAnsi="宋体" w:eastAsia="宋体" w:cs="Times New Roman"/>
          <w:sz w:val="24"/>
          <w:szCs w:val="21"/>
          <w:highlight w:val="none"/>
          <w:lang w:val="zh-TW"/>
        </w:rPr>
        <w:t xml:space="preserve">的各类人员的工资、加班费、服装、福利、意外险、高温费、节假日补贴以及国家规定的社会保险、管理费、人员培训费、通讯、服装、胸卡、各种税费、保险、劳保、利润、税金、政策性文件规定及合同包含的所有风险、责任等各项应有费用。投标报价为最终报价，除非因特殊原因并经采购双方协商同意，投标人不得再要求追加任何费用。同时，除非合同条款中另有规定，否则，投标人所报价格在合同实施期间不因市场变化因素而变动。</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5</w:t>
      </w:r>
      <w:r>
        <w:rPr>
          <w:rFonts w:hint="eastAsia" w:ascii="宋体" w:hAnsi="宋体" w:eastAsia="宋体" w:cs="Times New Roman"/>
          <w:sz w:val="24"/>
          <w:szCs w:val="21"/>
          <w:highlight w:val="none"/>
        </w:rPr>
        <w:t xml:space="preserve">、投标单位必须具备独立完成本项目的能力，各投标单位可自行进行现场踏勘，了解项目情况及详细需求，但投标单位不得因此使采购单位承担有关的责任和蒙受损失。投标单位应承担前期调研的责任和风险，相关费用由投标单位自行承担。投标单位中标后，不得以不完全了解现场情况为理由而向采购单位提出任何索赔的要求，对此采购单位不承担任何责任并将不作任何答复与考虑。</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6</w:t>
      </w:r>
      <w:r>
        <w:rPr>
          <w:rFonts w:hint="eastAsia" w:ascii="宋体" w:hAnsi="宋体" w:eastAsia="宋体" w:cs="Times New Roman"/>
          <w:sz w:val="24"/>
          <w:szCs w:val="21"/>
          <w:highlight w:val="none"/>
        </w:rPr>
        <w:t xml:space="preserve">、采购单位除支付本次采购项目的成交金额外不再承担其他任何费用。</w:t>
      </w:r>
      <w:r/>
    </w:p>
    <w:p>
      <w:pPr>
        <w:ind w:left="239" w:firstLine="307"/>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7</w:t>
      </w:r>
      <w:r>
        <w:rPr>
          <w:rFonts w:hint="eastAsia" w:ascii="宋体" w:hAnsi="宋体" w:eastAsia="宋体" w:cs="Times New Roman"/>
          <w:sz w:val="24"/>
          <w:szCs w:val="21"/>
          <w:highlight w:val="none"/>
        </w:rPr>
        <w:t xml:space="preserve">、维保期间采购单位有权不定期进行安全检查，发现重大安全隐患，经采购单位发布3 次以上整改通知的，采购单位有权终止合同，如果造成损失的可以向维保单位索赔。</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8</w:t>
      </w:r>
      <w:r>
        <w:rPr>
          <w:rFonts w:hint="eastAsia" w:ascii="宋体" w:hAnsi="宋体" w:eastAsia="宋体" w:cs="Times New Roman"/>
          <w:sz w:val="24"/>
          <w:szCs w:val="21"/>
          <w:highlight w:val="none"/>
        </w:rPr>
        <w:t xml:space="preserve">、本项目服务人员按照国家劳动法规定的工作时间安排员工工作。响应单位在响应报价时应将在服务期限内最低工资标准和社保缴费标准进行调整的情况考虑在内，采购单位不再为此承担任何费用和责任。相关服务人员与采购单位无任何劳动人事关系，用工事宜由成交单位负责。</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9</w:t>
      </w:r>
      <w:r>
        <w:rPr>
          <w:rFonts w:hint="eastAsia" w:ascii="宋体" w:hAnsi="宋体" w:eastAsia="宋体" w:cs="Times New Roman"/>
          <w:sz w:val="24"/>
          <w:szCs w:val="21"/>
          <w:highlight w:val="none"/>
        </w:rPr>
        <w:t xml:space="preserve">、采购单位与维护人员不发生任何劳动和雇佣关系，人员由成交单位自行管理，成交单位和维保人员应遵守安全操作规章制度，若发生人身伤害等工伤事故，由成交单位自负，与采购单位无涉。</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10</w:t>
      </w:r>
      <w:r>
        <w:rPr>
          <w:rFonts w:hint="eastAsia" w:ascii="宋体" w:hAnsi="宋体" w:eastAsia="宋体" w:cs="Times New Roman"/>
          <w:sz w:val="24"/>
          <w:szCs w:val="21"/>
          <w:highlight w:val="none"/>
        </w:rPr>
        <w:t xml:space="preserve">、各响应单位需根据采购单位的作息时间合理安排人员工作时间及实施方案，成交单位必须确保驻地有随时专人在现场。</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11</w:t>
      </w:r>
      <w:r>
        <w:rPr>
          <w:rFonts w:hint="eastAsia" w:ascii="宋体" w:hAnsi="宋体" w:eastAsia="宋体" w:cs="Times New Roman"/>
          <w:sz w:val="24"/>
          <w:szCs w:val="21"/>
          <w:highlight w:val="none"/>
        </w:rPr>
        <w:t xml:space="preserve">、成交单位提供的所有服务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w:t>
      </w:r>
      <w:r>
        <w:rPr>
          <w:rFonts w:hint="eastAsia" w:ascii="宋体" w:hAnsi="宋体" w:cs="Times New Roman"/>
          <w:sz w:val="24"/>
          <w:szCs w:val="21"/>
          <w:highlight w:val="none"/>
          <w:lang w:val="en-US" w:eastAsia="zh-CN"/>
        </w:rPr>
        <w:t xml:space="preserve">2</w:t>
      </w:r>
      <w:r>
        <w:rPr>
          <w:rFonts w:hint="eastAsia" w:ascii="宋体" w:hAnsi="宋体" w:eastAsia="宋体" w:cs="Times New Roman"/>
          <w:sz w:val="24"/>
          <w:szCs w:val="21"/>
          <w:highlight w:val="none"/>
        </w:rPr>
        <w:t xml:space="preserve">、成交单位应遵守安全生产的有关管理规定，严格按照安全标准组织运营，采取必要的安全防护措施，消除隐患。</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w:t>
      </w:r>
      <w:r>
        <w:rPr>
          <w:rFonts w:hint="eastAsia" w:ascii="宋体" w:hAnsi="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、因成交单位管理原因、技术原因所发生的数据泄露、网络安全事故、由成交单位负全责。</w:t>
      </w:r>
      <w:r/>
    </w:p>
    <w:p>
      <w:pPr>
        <w:ind w:firstLine="480"/>
        <w:jc w:val="left"/>
        <w:keepLines w:val="0"/>
        <w:keepNext w:val="0"/>
        <w:pageBreakBefore w:val="0"/>
        <w:spacing w:line="360" w:lineRule="auto"/>
        <w:widowControl/>
        <w:rPr>
          <w:rFonts w:hint="default" w:ascii="Calibri" w:hAnsi="Calibri" w:eastAsia="宋体" w:cs="Times New Roman"/>
          <w:sz w:val="28"/>
          <w:szCs w:val="28"/>
          <w:highlight w:val="none"/>
        </w:rPr>
      </w:pPr>
      <w:r>
        <w:rPr>
          <w:rFonts w:hint="eastAsia" w:ascii="宋体" w:hAnsi="宋体" w:eastAsia="宋体" w:cs="Times New Roman"/>
          <w:sz w:val="24"/>
          <w:szCs w:val="21"/>
          <w:highlight w:val="none"/>
        </w:rPr>
        <w:t xml:space="preserve">1</w:t>
      </w: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、凡涉及招标文件的补充说明和修改，均以最后在苏州市政府采购网发布的内容为准。</w:t>
      </w:r>
      <w:r/>
    </w:p>
    <w:p>
      <w:pPr>
        <w:ind w:firstLine="482"/>
        <w:jc w:val="left"/>
        <w:keepLines w:val="0"/>
        <w:keepNext w:val="0"/>
        <w:pageBreakBefore w:val="0"/>
        <w:spacing w:line="360" w:lineRule="auto"/>
        <w:widowControl/>
        <w:rPr>
          <w:rFonts w:hint="eastAsia" w:ascii="宋体" w:hAnsi="宋体" w:eastAsia="宋体" w:cs="Times New Roman"/>
          <w:b/>
          <w:bCs/>
          <w:color w:val="auto"/>
          <w:sz w:val="24"/>
          <w:szCs w:val="21"/>
          <w:highlight w:val="none"/>
        </w:rPr>
      </w:pPr>
      <w:r>
        <w:rPr>
          <w:rFonts w:hint="eastAsia" w:ascii="宋体" w:hAnsi="宋体" w:cs="Times New Roman"/>
          <w:b/>
          <w:bCs/>
          <w:color w:val="auto"/>
          <w:sz w:val="24"/>
          <w:szCs w:val="21"/>
          <w:highlight w:val="none"/>
          <w:lang w:val="en-US" w:eastAsia="zh-CN"/>
        </w:rPr>
        <w:t xml:space="preserve">八</w:t>
      </w:r>
      <w:r>
        <w:rPr>
          <w:rFonts w:hint="eastAsia" w:ascii="宋体" w:hAnsi="宋体" w:eastAsia="宋体" w:cs="Times New Roman"/>
          <w:b/>
          <w:bCs/>
          <w:color w:val="auto"/>
          <w:sz w:val="24"/>
          <w:szCs w:val="21"/>
          <w:highlight w:val="none"/>
        </w:rPr>
        <w:t xml:space="preserve">、政府采购政策</w:t>
      </w:r>
      <w:r/>
    </w:p>
    <w:p>
      <w:pPr>
        <w:ind w:firstLine="480"/>
        <w:jc w:val="left"/>
        <w:keepLines w:val="0"/>
        <w:keepNext w:val="0"/>
        <w:pageBreakBefore w:val="0"/>
        <w:spacing w:line="360" w:lineRule="auto"/>
        <w:widowControl/>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1、小、微企业</w:t>
      </w:r>
      <w:r/>
    </w:p>
    <w:p>
      <w:pPr>
        <w:ind w:firstLine="480"/>
        <w:jc w:val="left"/>
        <w:keepLines w:val="0"/>
        <w:keepNext w:val="0"/>
        <w:pageBreakBefore w:val="0"/>
        <w:spacing w:line="360" w:lineRule="auto"/>
        <w:widowControl/>
        <w:rPr>
          <w:rFonts w:hint="eastAsia" w:ascii="宋体" w:hAnsi="宋体" w:cs="Times New Roman"/>
          <w:sz w:val="24"/>
          <w:szCs w:val="21"/>
          <w:highlight w:val="none"/>
          <w:lang w:eastAsia="zh-CN"/>
        </w:rPr>
      </w:pPr>
      <w:r>
        <w:rPr>
          <w:rFonts w:hint="eastAsia" w:ascii="宋体" w:hAnsi="宋体" w:eastAsia="宋体" w:cs="Times New Roman"/>
          <w:sz w:val="24"/>
          <w:szCs w:val="21"/>
          <w:highlight w:val="none"/>
        </w:rPr>
        <w:t xml:space="preserve">本项目为专门面向中小企业采购</w:t>
      </w:r>
      <w:r>
        <w:rPr>
          <w:rFonts w:hint="eastAsia" w:ascii="宋体" w:hAnsi="宋体" w:cs="Times New Roman"/>
          <w:sz w:val="24"/>
          <w:szCs w:val="21"/>
          <w:highlight w:val="none"/>
          <w:lang w:eastAsia="zh-CN"/>
        </w:rPr>
        <w:t xml:space="preserve">，不再执行价格评审优惠的扶持政策，对应的中小企业划分标准所属行业为：软件和信息技术服务业。</w:t>
      </w:r>
      <w:r/>
    </w:p>
    <w:p>
      <w:pPr>
        <w:ind w:firstLine="480"/>
        <w:jc w:val="left"/>
        <w:keepLines w:val="0"/>
        <w:keepNext w:val="0"/>
        <w:pageBreakBefore w:val="0"/>
        <w:spacing w:line="360" w:lineRule="auto"/>
        <w:widowControl/>
        <w:rPr>
          <w:rFonts w:hint="default" w:ascii="宋体" w:hAnsi="宋体"/>
          <w:sz w:val="24"/>
          <w:szCs w:val="24"/>
          <w:highlight w:val="none"/>
        </w:rPr>
      </w:pPr>
      <w:r>
        <w:rPr>
          <w:rFonts w:hint="eastAsia" w:ascii="宋体" w:hAnsi="宋体" w:eastAsia="宋体" w:cs="Times New Roman"/>
          <w:sz w:val="24"/>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w:t>
      </w:r>
      <w:r>
        <w:rPr>
          <w:rFonts w:hint="eastAsia" w:ascii="宋体" w:hAnsi="宋体" w:eastAsia="宋体" w:cs="Times New Roman"/>
          <w:sz w:val="24"/>
          <w:szCs w:val="24"/>
          <w:highlight w:val="none"/>
        </w:rPr>
        <w:t xml:space="preserve">工</w:t>
      </w:r>
      <w:r>
        <w:rPr>
          <w:rFonts w:hint="eastAsia" w:ascii="宋体" w:hAnsi="宋体"/>
          <w:sz w:val="24"/>
          <w:szCs w:val="24"/>
          <w:highlight w:val="none"/>
        </w:rPr>
        <w:t xml:space="preserve">信部联企业〔2011〕300号）提交《中小企业声明函》并加盖公章，</w:t>
      </w:r>
      <w:r>
        <w:rPr>
          <w:rFonts w:hint="eastAsia" w:ascii="宋体" w:hAnsi="宋体"/>
          <w:b/>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spacing w:line="360" w:lineRule="auto"/>
        <w:widowControl/>
        <w:tabs>
          <w:tab w:val="left" w:pos="567" w:leader="none"/>
        </w:tabs>
        <w:rPr>
          <w:rFonts w:hint="default" w:ascii="Times New Roman" w:hAnsi="Times New Roman"/>
          <w:sz w:val="24"/>
          <w:szCs w:val="24"/>
          <w:highlight w:val="none"/>
        </w:rPr>
      </w:pPr>
      <w:r>
        <w:rPr>
          <w:rFonts w:hint="eastAsia" w:ascii="Times New Roman" w:hAnsi="Times New Roman"/>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4"/>
          <w:szCs w:val="24"/>
          <w:highlight w:val="none"/>
        </w:rPr>
        <w:t xml:space="preserve">服务类项目中供应商若使用退休人员，将不享受相关扶持政策。</w:t>
      </w:r>
      <w:r/>
    </w:p>
    <w:p>
      <w:pPr>
        <w:ind w:left="0" w:firstLine="482"/>
        <w:spacing w:line="360" w:lineRule="auto"/>
        <w:widowControl/>
        <w:tabs>
          <w:tab w:val="left" w:pos="567" w:leader="none"/>
        </w:tabs>
        <w:rPr>
          <w:rFonts w:hint="default" w:ascii="Calibri" w:hAnsi="Calibri" w:cs="宋体"/>
          <w:sz w:val="24"/>
          <w:szCs w:val="24"/>
          <w:highlight w:val="none"/>
        </w:rPr>
      </w:pPr>
      <w:r>
        <w:rPr>
          <w:rFonts w:hint="eastAsia" w:ascii="宋体" w:hAnsi="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根据《政府采购促进中小企业发展管理办法》（财库〔2020〕46号）及《中小企业划型标准规定》（工信部联企业〔2011〕300号），本采购项目对应的中小企业划分标准所属行业为：软件和信息技术服务业。</w:t>
      </w:r>
      <w:r/>
    </w:p>
    <w:p>
      <w:pPr>
        <w:ind w:left="0" w:firstLine="480"/>
        <w:spacing w:line="360" w:lineRule="auto"/>
        <w:widowControl/>
        <w:tabs>
          <w:tab w:val="left" w:pos="567" w:leader="none"/>
        </w:tabs>
        <w:rPr>
          <w:rFonts w:hint="default" w:ascii="Times New Roman" w:hAnsi="Times New Roman"/>
          <w:color w:val="000000"/>
          <w:sz w:val="24"/>
          <w:szCs w:val="24"/>
          <w:highlight w:val="none"/>
        </w:rPr>
      </w:pPr>
      <w:r>
        <w:rPr>
          <w:rFonts w:hint="eastAsia" w:ascii="Times New Roman" w:hAnsi="Times New Roman"/>
          <w:color w:val="000000"/>
          <w:sz w:val="24"/>
          <w:szCs w:val="24"/>
          <w:highlight w:val="none"/>
        </w:rPr>
        <w:t xml:space="preserve">2、残疾人福利性单位</w:t>
      </w:r>
      <w:r/>
    </w:p>
    <w:p>
      <w:pPr>
        <w:ind w:left="0" w:firstLine="480"/>
        <w:spacing w:line="360" w:lineRule="auto"/>
        <w:widowControl/>
        <w:tabs>
          <w:tab w:val="left" w:pos="567" w:leader="none"/>
        </w:tabs>
        <w:rPr>
          <w:rFonts w:hint="default" w:ascii="Times New Roman" w:hAnsi="Times New Roman"/>
          <w:color w:val="000000"/>
          <w:sz w:val="24"/>
          <w:szCs w:val="24"/>
          <w:highlight w:val="none"/>
        </w:rPr>
      </w:pPr>
      <w:r>
        <w:rPr>
          <w:rFonts w:hint="eastAsia" w:ascii="Times New Roman" w:hAnsi="Times New Roman"/>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80"/>
        <w:spacing w:line="360" w:lineRule="auto"/>
        <w:widowControl/>
        <w:tabs>
          <w:tab w:val="left" w:pos="567" w:leader="none"/>
        </w:tabs>
        <w:rPr>
          <w:rFonts w:hint="default" w:ascii="Times New Roman" w:hAnsi="Times New Roman"/>
          <w:color w:val="000000"/>
          <w:sz w:val="24"/>
          <w:szCs w:val="24"/>
          <w:highlight w:val="none"/>
        </w:rPr>
      </w:pPr>
      <w:r>
        <w:rPr>
          <w:rFonts w:hint="eastAsia" w:ascii="Times New Roman" w:hAnsi="Times New Roman"/>
          <w:color w:val="000000"/>
          <w:sz w:val="24"/>
          <w:szCs w:val="24"/>
          <w:highlight w:val="none"/>
        </w:rPr>
        <w:t xml:space="preserve">3、监狱企业</w:t>
      </w:r>
      <w:r/>
    </w:p>
    <w:p>
      <w:pPr>
        <w:ind w:left="0" w:firstLine="480"/>
        <w:spacing w:line="360" w:lineRule="auto"/>
        <w:widowControl/>
        <w:tabs>
          <w:tab w:val="left" w:pos="567" w:leader="none"/>
        </w:tabs>
        <w:rPr>
          <w:rFonts w:hint="default" w:ascii="Times New Roman" w:hAnsi="Times New Roman"/>
          <w:color w:val="000000"/>
          <w:sz w:val="24"/>
          <w:szCs w:val="24"/>
          <w:highlight w:val="none"/>
        </w:rPr>
      </w:pPr>
      <w:r>
        <w:rPr>
          <w:rFonts w:hint="eastAsia" w:ascii="Times New Roman" w:hAnsi="Times New Roman"/>
          <w:color w:val="000000"/>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80"/>
        <w:spacing w:line="360" w:lineRule="auto"/>
        <w:widowControl/>
        <w:tabs>
          <w:tab w:val="left" w:pos="567" w:leader="none"/>
        </w:tabs>
        <w:rPr>
          <w:rFonts w:hint="default" w:ascii="宋体" w:hAnsi="宋体" w:cs="宋体"/>
          <w:sz w:val="24"/>
          <w:szCs w:val="24"/>
          <w:highlight w:val="none"/>
        </w:rPr>
      </w:pPr>
      <w:r>
        <w:rPr>
          <w:rFonts w:hint="eastAsia" w:ascii="宋体" w:hAnsi="宋体" w:cs="宋体"/>
          <w:sz w:val="24"/>
          <w:szCs w:val="24"/>
          <w:highlight w:val="none"/>
        </w:rPr>
        <w:t xml:space="preserve">4、绿色采购</w:t>
      </w:r>
      <w:r/>
    </w:p>
    <w:p>
      <w:pPr>
        <w:ind w:left="0" w:firstLine="480"/>
        <w:spacing w:line="360" w:lineRule="auto"/>
        <w:widowControl/>
        <w:tabs>
          <w:tab w:val="left" w:pos="567" w:leader="none"/>
        </w:tabs>
        <w:rPr>
          <w:rFonts w:hint="default" w:ascii="Calibri" w:hAnsi="Calibri"/>
          <w:sz w:val="24"/>
          <w:szCs w:val="24"/>
          <w:highlight w:val="none"/>
        </w:rPr>
      </w:pPr>
      <w:r>
        <w:rPr>
          <w:rFonts w:hint="eastAsia" w:ascii="宋体" w:hAnsi="宋体"/>
          <w:sz w:val="24"/>
          <w:szCs w:val="24"/>
          <w:highlight w:val="none"/>
        </w:rPr>
        <w:t xml:space="preserve">（1）根据《关于调整优化节能产品、环境标志产品政府采购执行机制的通知》（财库〔</w:t>
      </w:r>
      <w:r>
        <w:rPr>
          <w:rFonts w:hint="default" w:ascii="宋体" w:hAnsi="宋体"/>
          <w:sz w:val="24"/>
          <w:szCs w:val="24"/>
          <w:highlight w:val="none"/>
        </w:rPr>
        <w:t xml:space="preserve">2019</w:t>
      </w:r>
      <w:r>
        <w:rPr>
          <w:rFonts w:hint="eastAsia" w:ascii="宋体" w:hAnsi="宋体"/>
          <w:sz w:val="24"/>
          <w:szCs w:val="24"/>
          <w:highlight w:val="none"/>
        </w:rPr>
        <w:t xml:space="preserve">〕</w:t>
      </w:r>
      <w:r>
        <w:rPr>
          <w:rFonts w:hint="default" w:ascii="宋体" w:hAnsi="宋体"/>
          <w:sz w:val="24"/>
          <w:szCs w:val="24"/>
          <w:highlight w:val="none"/>
        </w:rPr>
        <w:t xml:space="preserve">9</w:t>
      </w:r>
      <w:r>
        <w:rPr>
          <w:rFonts w:hint="eastAsia" w:ascii="宋体" w:hAnsi="宋体"/>
          <w:sz w:val="24"/>
          <w:szCs w:val="24"/>
          <w:highlight w:val="none"/>
        </w:rPr>
        <w:t xml:space="preserve">号）等相关文件的规定，</w:t>
      </w:r>
      <w:r>
        <w:rPr>
          <w:rFonts w:hint="eastAsia" w:ascii="宋体" w:hAnsi="宋体"/>
          <w:b/>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80"/>
        <w:spacing w:line="360" w:lineRule="auto"/>
        <w:widowControl/>
        <w:tabs>
          <w:tab w:val="left" w:pos="567" w:leader="none"/>
        </w:tabs>
        <w:rPr>
          <w:rFonts w:hint="default" w:ascii="宋体" w:hAnsi="宋体"/>
          <w:sz w:val="24"/>
          <w:szCs w:val="24"/>
          <w:highlight w:val="none"/>
        </w:rPr>
      </w:pPr>
      <w:r>
        <w:rPr>
          <w:rFonts w:hint="eastAsia" w:ascii="宋体" w:hAnsi="宋体"/>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80"/>
        <w:spacing w:line="360" w:lineRule="auto"/>
        <w:widowControl/>
        <w:tabs>
          <w:tab w:val="left" w:pos="567" w:leader="none"/>
        </w:tabs>
        <w:rPr>
          <w:rFonts w:hint="default" w:ascii="宋体" w:hAnsi="宋体"/>
          <w:sz w:val="24"/>
          <w:szCs w:val="24"/>
          <w:highlight w:val="none"/>
        </w:rPr>
      </w:pPr>
      <w:r>
        <w:rPr>
          <w:rFonts w:hint="eastAsia" w:ascii="宋体" w:hAnsi="宋体"/>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82"/>
        <w:spacing w:line="360" w:lineRule="auto"/>
        <w:widowControl/>
        <w:tabs>
          <w:tab w:val="left" w:pos="420" w:leader="none"/>
        </w:tabs>
        <w:rPr>
          <w:rFonts w:hint="default" w:ascii="宋体" w:hAnsi="宋体" w:cs="宋体"/>
          <w:b/>
          <w:bCs/>
          <w:sz w:val="24"/>
          <w:szCs w:val="24"/>
          <w:highlight w:val="none"/>
        </w:rPr>
      </w:pPr>
      <w:r>
        <w:rPr>
          <w:rFonts w:hint="default" w:ascii="宋体" w:hAnsi="宋体" w:cs="宋体"/>
          <w:b/>
          <w:bCs/>
          <w:sz w:val="24"/>
          <w:szCs w:val="24"/>
          <w:highlight w:val="none"/>
        </w:rPr>
      </w:r>
      <w:r/>
    </w:p>
    <w:p>
      <w:pPr>
        <w:ind w:left="0" w:firstLine="482"/>
        <w:spacing w:line="360" w:lineRule="auto"/>
        <w:widowControl/>
        <w:tabs>
          <w:tab w:val="left" w:pos="420" w:leader="none"/>
        </w:tabs>
        <w:rPr>
          <w:rFonts w:hint="default" w:ascii="宋体" w:hAnsi="宋体" w:cs="宋体"/>
          <w:b/>
          <w:bCs/>
          <w:sz w:val="24"/>
          <w:szCs w:val="24"/>
          <w:highlight w:val="none"/>
        </w:rPr>
      </w:pPr>
      <w:r>
        <w:rPr>
          <w:rFonts w:hint="eastAsia" w:ascii="宋体" w:hAnsi="宋体" w:cs="宋体"/>
          <w:b/>
          <w:bCs/>
          <w:sz w:val="24"/>
          <w:szCs w:val="24"/>
          <w:highlight w:val="none"/>
          <w:lang w:val="en-US" w:eastAsia="zh-CN"/>
        </w:rPr>
        <w:t xml:space="preserve">九</w:t>
      </w:r>
      <w:r>
        <w:rPr>
          <w:rFonts w:hint="eastAsia" w:ascii="宋体" w:hAnsi="宋体" w:cs="宋体"/>
          <w:b/>
          <w:bCs/>
          <w:sz w:val="24"/>
          <w:szCs w:val="24"/>
          <w:highlight w:val="none"/>
        </w:rPr>
        <w:t xml:space="preserve">、关于对参与供应商信用记录的政府采购要求</w:t>
      </w:r>
      <w:r/>
    </w:p>
    <w:p>
      <w:pPr>
        <w:ind w:left="0" w:firstLine="480"/>
        <w:spacing w:line="360" w:lineRule="auto"/>
        <w:widowControl/>
        <w:tabs>
          <w:tab w:val="left" w:pos="420" w:leader="none"/>
        </w:tabs>
        <w:rPr>
          <w:rFonts w:hint="default" w:ascii="宋体" w:hAnsi="宋体" w:cs="宋体"/>
          <w:color w:val="000000"/>
          <w:sz w:val="24"/>
          <w:szCs w:val="24"/>
          <w:highlight w:val="none"/>
        </w:rPr>
      </w:pPr>
      <w:r>
        <w:rPr>
          <w:rFonts w:hint="eastAsia" w:ascii="宋体" w:hAnsi="宋体" w:cs="宋体"/>
          <w:color w:val="000000"/>
          <w:sz w:val="24"/>
          <w:szCs w:val="24"/>
          <w:highlight w:val="none"/>
        </w:rPr>
        <w:t xml:space="preserve">1、采购代理机构会在接收响应文件截止时间后，登录</w:t>
      </w:r>
      <w:r>
        <w:rPr>
          <w:rFonts w:hint="default" w:ascii="宋体" w:hAnsi="宋体" w:cs="宋体"/>
          <w:color w:val="000000"/>
          <w:sz w:val="24"/>
          <w:szCs w:val="24"/>
          <w:highlight w:val="none"/>
        </w:rPr>
        <w:t xml:space="preserve">信用中国</w:t>
      </w:r>
      <w:r>
        <w:rPr>
          <w:rFonts w:hint="eastAsia" w:ascii="宋体" w:hAnsi="宋体" w:cs="宋体"/>
          <w:color w:val="000000"/>
          <w:sz w:val="24"/>
          <w:szCs w:val="24"/>
          <w:highlight w:val="none"/>
        </w:rPr>
        <w:t xml:space="preserve">网站</w:t>
      </w:r>
      <w:r>
        <w:rPr>
          <w:rFonts w:hint="default" w:ascii="宋体" w:hAnsi="宋体" w:cs="宋体"/>
          <w:color w:val="000000"/>
          <w:sz w:val="24"/>
          <w:szCs w:val="24"/>
          <w:highlight w:val="none"/>
        </w:rPr>
        <w:t xml:space="preserve">（www.creditchina.gov.cn/）</w:t>
      </w:r>
      <w:r>
        <w:rPr>
          <w:rFonts w:hint="eastAsia" w:ascii="宋体" w:hAnsi="宋体" w:cs="宋体"/>
          <w:color w:val="000000"/>
          <w:sz w:val="24"/>
          <w:szCs w:val="24"/>
          <w:highlight w:val="none"/>
        </w:rPr>
        <w:t xml:space="preserve">和</w:t>
      </w:r>
      <w:r>
        <w:rPr>
          <w:rFonts w:hint="eastAsia" w:ascii="宋体" w:hAnsi="宋体"/>
          <w:color w:val="000000"/>
          <w:sz w:val="24"/>
          <w:szCs w:val="24"/>
          <w:highlight w:val="none"/>
        </w:rPr>
        <w:t xml:space="preserve">中国政府采购网（</w:t>
      </w:r>
      <w:r>
        <w:rPr>
          <w:rFonts w:hint="default" w:ascii="宋体" w:hAnsi="宋体"/>
          <w:color w:val="000000"/>
          <w:sz w:val="24"/>
          <w:szCs w:val="24"/>
          <w:highlight w:val="none"/>
        </w:rPr>
        <w:t xml:space="preserve">www.ccgp.gov.cn/</w:t>
      </w:r>
      <w:r>
        <w:rPr>
          <w:rFonts w:hint="eastAsia" w:ascii="宋体" w:hAnsi="宋体"/>
          <w:color w:val="000000"/>
          <w:sz w:val="24"/>
          <w:szCs w:val="24"/>
          <w:highlight w:val="none"/>
        </w:rPr>
        <w:t xml:space="preserve">）</w:t>
      </w:r>
      <w:r>
        <w:rPr>
          <w:rFonts w:hint="default" w:ascii="宋体" w:hAnsi="宋体" w:cs="宋体"/>
          <w:color w:val="000000"/>
          <w:sz w:val="24"/>
          <w:szCs w:val="24"/>
          <w:highlight w:val="none"/>
        </w:rPr>
        <w:t xml:space="preserve">查询供应商的信用记录。</w:t>
      </w:r>
      <w:r/>
    </w:p>
    <w:p>
      <w:pPr>
        <w:ind w:left="0" w:firstLine="480"/>
        <w:spacing w:line="360" w:lineRule="auto"/>
        <w:widowControl/>
        <w:tabs>
          <w:tab w:val="left" w:pos="567" w:leader="none"/>
        </w:tabs>
        <w:rPr>
          <w:rFonts w:hint="default" w:ascii="宋体" w:hAnsi="宋体" w:cs="宋体"/>
          <w:color w:val="000000"/>
          <w:sz w:val="24"/>
          <w:szCs w:val="24"/>
          <w:highlight w:val="none"/>
        </w:rPr>
      </w:pPr>
      <w:r>
        <w:rPr>
          <w:rFonts w:hint="eastAsia" w:ascii="宋体" w:hAnsi="宋体" w:cs="宋体"/>
          <w:color w:val="000000"/>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80"/>
        <w:spacing w:line="360" w:lineRule="auto"/>
        <w:widowControl/>
        <w:tabs>
          <w:tab w:val="left" w:pos="567" w:leader="none"/>
        </w:tabs>
        <w:rPr>
          <w:rFonts w:hint="default" w:ascii="宋体" w:hAnsi="宋体" w:cs="宋体"/>
          <w:color w:val="000000"/>
          <w:sz w:val="24"/>
          <w:szCs w:val="24"/>
          <w:highlight w:val="none"/>
        </w:rPr>
      </w:pPr>
      <w:r>
        <w:rPr>
          <w:rFonts w:hint="eastAsia" w:ascii="宋体" w:hAnsi="宋体" w:cs="宋体"/>
          <w:color w:val="000000"/>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80"/>
        <w:spacing w:line="360" w:lineRule="auto"/>
        <w:widowControl/>
        <w:tabs>
          <w:tab w:val="left" w:pos="567" w:leader="none"/>
        </w:tabs>
        <w:rPr>
          <w:rFonts w:hint="default" w:ascii="宋体" w:hAnsi="宋体" w:cs="宋体"/>
          <w:color w:val="000000"/>
          <w:sz w:val="24"/>
          <w:szCs w:val="24"/>
          <w:highlight w:val="none"/>
        </w:rPr>
      </w:pPr>
      <w:r>
        <w:rPr>
          <w:rFonts w:hint="eastAsia" w:ascii="宋体" w:hAnsi="宋体" w:cs="宋体"/>
          <w:color w:val="000000"/>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80"/>
        <w:spacing w:line="360" w:lineRule="auto"/>
        <w:widowControl/>
        <w:tabs>
          <w:tab w:val="left" w:pos="420" w:leader="none"/>
        </w:tabs>
        <w:rPr>
          <w:rFonts w:hint="default" w:ascii="宋体" w:hAnsi="宋体" w:cs="宋体"/>
          <w:color w:val="000000"/>
          <w:sz w:val="24"/>
          <w:szCs w:val="24"/>
          <w:highlight w:val="none"/>
        </w:rPr>
      </w:pPr>
      <w:r>
        <w:rPr>
          <w:rFonts w:hint="eastAsia" w:ascii="宋体" w:hAnsi="宋体" w:cs="宋体"/>
          <w:color w:val="000000"/>
          <w:sz w:val="24"/>
          <w:szCs w:val="24"/>
          <w:highlight w:val="none"/>
        </w:rPr>
        <w:t xml:space="preserve">4、对存在失信信息的供应商，由失信供应商进行确认。同时，采购代理机构工作人员应根据评审小组确认的失信信息，登陆到相关来源网站页面进行复核并打印，作为证据留存。</w:t>
      </w:r>
      <w:r/>
    </w:p>
    <w:p>
      <w:pPr>
        <w:ind w:left="0" w:firstLine="480"/>
        <w:spacing w:line="360" w:lineRule="auto"/>
        <w:widowControl/>
        <w:tabs>
          <w:tab w:val="left" w:pos="420" w:leader="none"/>
        </w:tabs>
        <w:rPr>
          <w:rFonts w:hint="default" w:ascii="宋体" w:hAnsi="宋体" w:cs="宋体"/>
          <w:color w:val="000000"/>
          <w:sz w:val="24"/>
          <w:szCs w:val="24"/>
          <w:highlight w:val="none"/>
        </w:rPr>
      </w:pPr>
      <w:r>
        <w:rPr>
          <w:rFonts w:hint="default" w:ascii="宋体" w:hAnsi="宋体" w:cs="宋体"/>
          <w:color w:val="000000"/>
          <w:sz w:val="24"/>
          <w:szCs w:val="24"/>
          <w:highlight w:val="none"/>
        </w:rPr>
      </w:r>
      <w:r/>
    </w:p>
    <w:p>
      <w:pPr>
        <w:pStyle w:val="700"/>
        <w:ind w:left="0" w:firstLine="0"/>
        <w:rPr>
          <w:rFonts w:hint="eastAsia" w:eastAsia="宋体" w:cs="Times New Roman"/>
          <w:color w:val="auto"/>
          <w:sz w:val="24"/>
          <w:szCs w:val="24"/>
          <w:highlight w:val="none"/>
        </w:rPr>
      </w:pPr>
      <w:r>
        <w:rPr>
          <w:rFonts w:hint="eastAsia" w:eastAsia="宋体" w:cs="Times New Roman"/>
          <w:color w:val="auto"/>
          <w:sz w:val="24"/>
          <w:szCs w:val="24"/>
          <w:highlight w:val="none"/>
        </w:rPr>
      </w:r>
      <w:r/>
    </w:p>
    <w:p>
      <w:pPr>
        <w:jc w:val="center"/>
        <w:keepLines/>
        <w:keepNext/>
        <w:spacing w:before="340" w:after="330" w:line="578" w:lineRule="auto"/>
        <w:rPr>
          <w:rFonts w:ascii="宋体" w:hAnsi="宋体" w:eastAsia="宋体" w:cs="Times New Roman"/>
          <w:b/>
          <w:color w:val="auto"/>
          <w:sz w:val="24"/>
          <w:szCs w:val="24"/>
          <w:highlight w:val="none"/>
        </w:rPr>
        <w:outlineLvl w:val="0"/>
      </w:pPr>
      <w:r>
        <w:rPr>
          <w:rFonts w:ascii="宋体" w:hAnsi="宋体" w:eastAsia="宋体" w:cs="Times New Roman"/>
          <w:b/>
          <w:color w:val="auto"/>
          <w:sz w:val="24"/>
          <w:szCs w:val="24"/>
          <w:highlight w:val="none"/>
        </w:rPr>
      </w:r>
      <w:r/>
    </w:p>
    <w:p>
      <w:pPr>
        <w:pStyle w:val="687"/>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pStyle w:val="687"/>
      </w:pPr>
      <w:r/>
      <w:r/>
    </w:p>
    <w:p>
      <w:pPr>
        <w:pStyle w:val="687"/>
        <w:rPr>
          <w:highlight w:val="none"/>
        </w:rPr>
      </w:pPr>
      <w:r>
        <w:rPr>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第五章 合同主要条款</w:t>
      </w:r>
      <w:bookmarkEnd w:id="9"/>
      <w:r/>
      <w:bookmarkEnd w:id="10"/>
      <w:r/>
      <w:r/>
    </w:p>
    <w:p>
      <w:pPr>
        <w:jc w:val="center"/>
        <w:widowControl/>
        <w:rPr>
          <w:rFonts w:ascii="宋体" w:hAnsi="宋体" w:eastAsia="宋体" w:cs="Times New Roman"/>
          <w:color w:val="auto"/>
          <w:sz w:val="24"/>
          <w:highlight w:val="none"/>
        </w:rPr>
      </w:pPr>
      <w:r>
        <w:rPr>
          <w:rFonts w:ascii="宋体" w:hAnsi="宋体" w:eastAsia="宋体" w:cs="Times New Roman"/>
          <w:b/>
          <w:color w:val="auto"/>
          <w:sz w:val="28"/>
          <w:szCs w:val="28"/>
          <w:highlight w:val="none"/>
        </w:rPr>
        <w:br w:type="page" w:clear="all"/>
      </w:r>
      <w:r/>
    </w:p>
    <w:p>
      <w:pPr>
        <w:jc w:val="center"/>
        <w:spacing w:line="360" w:lineRule="auto"/>
        <w:rPr>
          <w:rFonts w:ascii="宋体" w:hAnsi="宋体"/>
          <w:b/>
          <w:bCs/>
          <w:color w:val="auto"/>
          <w:sz w:val="44"/>
          <w:szCs w:val="44"/>
          <w:highlight w:val="none"/>
        </w:rPr>
      </w:pPr>
      <w:r>
        <w:rPr>
          <w:rFonts w:ascii="宋体" w:hAnsi="宋体"/>
          <w:b/>
          <w:bCs/>
          <w:color w:val="auto"/>
          <w:sz w:val="44"/>
          <w:szCs w:val="44"/>
          <w:highlight w:val="none"/>
        </w:rPr>
        <w:t xml:space="preserve">政府采购合同书</w:t>
      </w:r>
      <w:r/>
    </w:p>
    <w:p>
      <w:pPr>
        <w:ind w:firstLine="480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p>
    <w:p>
      <w:pPr>
        <w:numPr>
          <w:ilvl w:val="0"/>
          <w:numId w:val="0"/>
        </w:numPr>
        <w:rPr>
          <w:rFonts w:hint="eastAsia" w:ascii="Calibri" w:hAnsi="Calibri"/>
          <w:color w:val="auto"/>
          <w:highlight w:val="none"/>
        </w:rPr>
      </w:pPr>
      <w:r>
        <w:rPr>
          <w:rFonts w:hint="eastAsia" w:ascii="Calibri" w:hAnsi="Calibri"/>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甲方（采购方）：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jc w:val="both"/>
        <w:spacing w:after="120"/>
        <w:widowControl w:val="off"/>
        <w:rPr>
          <w:rFonts w:hint="eastAsia" w:ascii="Calibri" w:hAnsi="Calibri" w:eastAsia="宋体" w:cs="Times New Roman"/>
          <w:color w:val="auto"/>
          <w:sz w:val="21"/>
          <w:szCs w:val="24"/>
          <w:highlight w:val="none"/>
          <w:lang w:val="en-US" w:eastAsia="zh-CN" w:bidi="ar-SA"/>
        </w:rPr>
      </w:pPr>
      <w:r>
        <w:rPr>
          <w:rFonts w:hint="eastAsia" w:ascii="Calibri" w:hAnsi="Calibri" w:eastAsia="宋体" w:cs="Times New Roman"/>
          <w:color w:val="auto"/>
          <w:sz w:val="21"/>
          <w:szCs w:val="24"/>
          <w:highlight w:val="none"/>
          <w:lang w:val="en-US" w:eastAsia="zh-CN" w:bidi="ar-SA"/>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乙方（供应方）：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负责人：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p>
      <w:pPr>
        <w:ind w:left="0"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一、定义</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以下术语有特定的含义：</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服务是指根据合同规定乙方应承担</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等工作和合同中规定乙方应承担的其它义务。</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合同价款是指根据成交单位的响应文件和合同规定，乙方在正确地履行合同义务后甲方应支付给乙方的价款。</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甲方是指合同中明确规定的实际购买和接受服务的单位。</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乙方是指合同中规定的提供服务的单位。</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420" w:firstLine="420"/>
        <w:jc w:val="both"/>
        <w:keepLines w:val="0"/>
        <w:keepNext w:val="0"/>
        <w:pageBreakBefore w:val="0"/>
        <w:spacing w:after="120" w:line="360" w:lineRule="auto"/>
        <w:widowControl w:val="off"/>
        <w:rPr>
          <w:rFonts w:hint="eastAsia" w:ascii="Times New Roman" w:hAnsi="Times New Roman" w:eastAsia="楷体_GB2312" w:cs="Times New Roman"/>
          <w:sz w:val="26"/>
          <w:szCs w:val="24"/>
          <w:highlight w:val="none"/>
          <w:lang w:val="en-US" w:eastAsia="zh-CN" w:bidi="ar-SA"/>
        </w:rPr>
      </w:pPr>
      <w:r>
        <w:rPr>
          <w:rFonts w:hint="eastAsia" w:ascii="Times New Roman" w:hAnsi="Times New Roman" w:eastAsia="楷体_GB2312" w:cs="Times New Roman"/>
          <w:sz w:val="26"/>
          <w:szCs w:val="24"/>
          <w:highlight w:val="none"/>
          <w:lang w:val="en-US" w:eastAsia="zh-CN" w:bidi="ar-SA"/>
        </w:rPr>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二、合同项目及期限</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2.1乙方负责</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的服务工作。</w:t>
      </w:r>
      <w:r/>
    </w:p>
    <w:p>
      <w:pPr>
        <w:ind w:firstLine="480"/>
        <w:spacing w:line="360" w:lineRule="auto"/>
        <w:rPr>
          <w:rFonts w:hint="eastAsia" w:ascii="宋体" w:hAnsi="宋体" w:cs="宋体"/>
          <w:sz w:val="24"/>
          <w:szCs w:val="20"/>
          <w:highlight w:val="none"/>
          <w:lang w:val="en-US" w:eastAsia="zh-CN"/>
        </w:rPr>
      </w:pPr>
      <w:r>
        <w:rPr>
          <w:rFonts w:hint="eastAsia" w:ascii="宋体" w:hAnsi="宋体" w:eastAsia="宋体" w:cs="宋体"/>
          <w:color w:val="000000"/>
          <w:sz w:val="24"/>
          <w:szCs w:val="24"/>
          <w:highlight w:val="none"/>
        </w:rPr>
        <w:t xml:space="preserve">2.2服务期限：</w:t>
      </w:r>
      <w:r>
        <w:rPr>
          <w:rFonts w:hint="eastAsia" w:ascii="宋体" w:hAnsi="宋体" w:cs="宋体"/>
          <w:sz w:val="24"/>
          <w:szCs w:val="20"/>
          <w:highlight w:val="none"/>
          <w:lang w:val="en-US" w:eastAsia="zh-CN"/>
        </w:rPr>
        <w:t xml:space="preserve">叁年。维保时间自2026年1月30日至2029年1月29日。实际开始时间以上年维保到期并办理好移交手续为准。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2.3服务地点：根据甲方指定地点。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三、合同总价款：</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420" w:firstLine="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四、付款方式</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1.付款步骤：</w:t>
      </w:r>
      <w:r>
        <w:rPr>
          <w:rFonts w:hint="eastAsia" w:ascii="宋体" w:hAnsi="宋体" w:cs="宋体"/>
          <w:color w:val="auto"/>
          <w:sz w:val="24"/>
          <w:szCs w:val="24"/>
          <w:highlight w:val="none"/>
          <w:lang w:val="en-US" w:eastAsia="zh-CN"/>
        </w:rPr>
        <w:t xml:space="preserve">本项目费用具体支付方式如下:</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（1）签订合同后支付合同金额的30%作为预付款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第二年服务期满，</w:t>
      </w:r>
      <w:r>
        <w:rPr>
          <w:rFonts w:hint="eastAsia" w:ascii="宋体" w:hAnsi="宋体" w:eastAsia="宋体" w:cs="宋体"/>
          <w:color w:val="auto"/>
          <w:sz w:val="24"/>
          <w:szCs w:val="24"/>
          <w:highlight w:val="none"/>
        </w:rPr>
        <w:t xml:space="preserve">完成合同约定的事项并通过考核，</w:t>
      </w:r>
      <w:r>
        <w:rPr>
          <w:rFonts w:hint="eastAsia" w:ascii="宋体" w:hAnsi="宋体" w:eastAsia="宋体" w:cs="宋体"/>
          <w:color w:val="auto"/>
          <w:sz w:val="24"/>
          <w:szCs w:val="24"/>
          <w:highlight w:val="none"/>
          <w:lang w:val="en-US" w:eastAsia="zh-CN"/>
        </w:rPr>
        <w:t xml:space="preserve">支付合同金额的</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第</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年服务期满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完成合同约定的事项并通过</w:t>
      </w:r>
      <w:r>
        <w:rPr>
          <w:rFonts w:hint="eastAsia" w:ascii="宋体" w:hAnsi="宋体" w:cs="宋体"/>
          <w:color w:val="auto"/>
          <w:sz w:val="24"/>
          <w:szCs w:val="24"/>
          <w:highlight w:val="none"/>
          <w:lang w:val="en-US" w:eastAsia="zh-CN"/>
        </w:rPr>
        <w:t xml:space="preserve">全部</w:t>
      </w:r>
      <w:r>
        <w:rPr>
          <w:rFonts w:hint="eastAsia" w:ascii="宋体" w:hAnsi="宋体" w:eastAsia="宋体" w:cs="宋体"/>
          <w:color w:val="auto"/>
          <w:sz w:val="24"/>
          <w:szCs w:val="24"/>
          <w:highlight w:val="none"/>
        </w:rPr>
        <w:t xml:space="preserve">考核，完成履约验收后，付至按考核结果应付最终金额的100%。</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在签订合同时，乙方明确表示无需预付款或者主动要求降低预付款比例的，甲方可不适用上述关于预付款的规定。</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确因甲方工作需要，甲方需要乙方完成一些突击工作，可另行协商。如：安排人员临时加班。</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本项目将根据服务的质量、效率、专业性按月由</w:t>
      </w:r>
      <w:r>
        <w:rPr>
          <w:rFonts w:hint="eastAsia" w:ascii="宋体" w:hAnsi="宋体" w:cs="宋体"/>
          <w:color w:val="000000"/>
          <w:sz w:val="24"/>
          <w:szCs w:val="24"/>
          <w:highlight w:val="none"/>
          <w:lang w:val="en-US" w:eastAsia="zh-CN"/>
        </w:rPr>
        <w:t xml:space="preserve">姑苏区政务信息</w:t>
      </w:r>
      <w:r>
        <w:rPr>
          <w:rFonts w:hint="eastAsia" w:ascii="宋体" w:hAnsi="宋体" w:eastAsia="宋体" w:cs="宋体"/>
          <w:color w:val="000000"/>
          <w:sz w:val="24"/>
          <w:szCs w:val="24"/>
          <w:highlight w:val="none"/>
        </w:rPr>
        <w:t xml:space="preserve">中心进行量化考核，完成全部维保服务工作并履约验收。</w:t>
      </w:r>
      <w:r/>
    </w:p>
    <w:p>
      <w:pPr>
        <w:ind w:left="0"/>
        <w:jc w:val="center"/>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运维服务考核表</w:t>
      </w:r>
      <w:r/>
    </w:p>
    <w:tbl>
      <w:tblPr>
        <w:tblStyle w:val="69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89"/>
        <w:gridCol w:w="5743"/>
        <w:gridCol w:w="1493"/>
      </w:tblGrid>
      <w:tr>
        <w:trPr>
          <w:jc w:val="center"/>
          <w:trHeight w:val="317"/>
        </w:trPr>
        <w:tc>
          <w:tcPr>
            <w:tcBorders>
              <w:top w:val="single" w:color="auto" w:sz="12" w:space="0"/>
              <w:left w:val="single" w:color="auto" w:sz="12" w:space="0"/>
              <w:bottom w:val="single" w:color="auto" w:sz="6" w:space="0"/>
              <w:right w:val="single" w:color="auto" w:sz="6" w:space="0"/>
            </w:tcBorders>
            <w:tcW w:w="1989" w:type="dxa"/>
            <w:vAlign w:val="center"/>
            <w:textDirection w:val="lrTb"/>
            <w:noWrap w:val="false"/>
          </w:tcPr>
          <w:p>
            <w:pPr>
              <w:ind w:left="0"/>
              <w:jc w:val="center"/>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Borders>
              <w:top w:val="single" w:color="auto" w:sz="12" w:space="0"/>
              <w:left w:val="single" w:color="auto" w:sz="6" w:space="0"/>
              <w:bottom w:val="single" w:color="auto" w:sz="6" w:space="0"/>
              <w:right w:val="single" w:color="auto" w:sz="6" w:space="0"/>
            </w:tcBorders>
            <w:tcW w:w="5743" w:type="dxa"/>
            <w:vAlign w:val="center"/>
            <w:textDirection w:val="lrTb"/>
            <w:noWrap w:val="false"/>
          </w:tcPr>
          <w:p>
            <w:pPr>
              <w:ind w:left="0"/>
              <w:jc w:val="center"/>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p>
        </w:tc>
        <w:tc>
          <w:tcPr>
            <w:tcBorders>
              <w:top w:val="single" w:color="auto" w:sz="12" w:space="0"/>
              <w:left w:val="single" w:color="auto" w:sz="6" w:space="0"/>
              <w:bottom w:val="single" w:color="auto" w:sz="6" w:space="0"/>
              <w:right w:val="single" w:color="auto" w:sz="12" w:space="0"/>
            </w:tcBorders>
            <w:tcW w:w="1493" w:type="dxa"/>
            <w:vAlign w:val="center"/>
            <w:textDirection w:val="lrTb"/>
            <w:noWrap w:val="false"/>
          </w:tcPr>
          <w:p>
            <w:pPr>
              <w:ind w:left="0"/>
              <w:jc w:val="center"/>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restart"/>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基础管理（25分）</w:t>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工作计划管理，由维护单位提交年度工作计划方案，根据方案的优劣进行打分。</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ind w:lef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每一个月一次设备运行状况检查记录表，需使用方确认，少一张扣1分；扣完为止。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ind w:lef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用户主动报修故障修复确认记录，缺失一份扣1分；扣完为止。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restart"/>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质量管理（55分）</w:t>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硬件设备完好率达到90%以上（道路施工、点位迁移等因素除外），每降低一个百分点扣1分；扣完为止。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ind w:lef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故障未在合同规定时间内修复，无特殊原因，每次扣2分，扣完为止。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ind w:lef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监控图像质量、字符叠加符合标准。每发生一次通报扣1分，扣完为止。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ind w:lef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软件系统未出现重大故障，上级软件系统原因除外，每出现一次扣1分，扣完为止。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ind w:lef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发生网络混接、被上级部门通报的，一次扣5分。</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restart"/>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现场监督巡查（20分）</w:t>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维护人员着装整理，态度和蔼，每违规一次扣1分，扣完为止。</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r>
      <w:tr>
        <w:trPr>
          <w:jc w:val="center"/>
          <w:trHeight w:val="253"/>
        </w:trPr>
        <w:tc>
          <w:tcPr>
            <w:tcBorders>
              <w:top w:val="single" w:color="auto" w:sz="6" w:space="0"/>
              <w:left w:val="single" w:color="auto" w:sz="12" w:space="0"/>
              <w:bottom w:val="single" w:color="auto" w:sz="6" w:space="0"/>
              <w:right w:val="single" w:color="auto" w:sz="6" w:space="0"/>
            </w:tcBorders>
            <w:tcW w:w="1989" w:type="dxa"/>
            <w:vAlign w:val="center"/>
            <w:vMerge w:val="continue"/>
            <w:textDirection w:val="lrTb"/>
            <w:noWrap w:val="false"/>
          </w:tcPr>
          <w:p>
            <w:pPr>
              <w:ind w:lef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auto" w:sz="6" w:space="0"/>
              <w:left w:val="single" w:color="auto" w:sz="6" w:space="0"/>
              <w:bottom w:val="single" w:color="auto" w:sz="6"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维护人员在工作过程中，有意无意听、看到与本职工作无关的事件，案件、对外透露，每发现一次扣2分，造成恶劣影响的，直接扣10分。造成严重后果的，追究当事人法律责任。</w:t>
            </w:r>
            <w:r/>
          </w:p>
        </w:tc>
        <w:tc>
          <w:tcPr>
            <w:tcBorders>
              <w:top w:val="single" w:color="auto" w:sz="6" w:space="0"/>
              <w:left w:val="single" w:color="auto" w:sz="6" w:space="0"/>
              <w:bottom w:val="single" w:color="auto" w:sz="6"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10分</w:t>
            </w:r>
            <w:r/>
          </w:p>
        </w:tc>
      </w:tr>
      <w:tr>
        <w:trPr>
          <w:jc w:val="center"/>
          <w:trHeight w:val="253"/>
        </w:trPr>
        <w:tc>
          <w:tcPr>
            <w:tcBorders>
              <w:top w:val="single" w:color="auto" w:sz="6" w:space="0"/>
              <w:left w:val="single" w:color="auto" w:sz="12" w:space="0"/>
              <w:bottom w:val="single" w:color="auto" w:sz="12" w:space="0"/>
              <w:right w:val="single" w:color="auto" w:sz="6" w:space="0"/>
            </w:tcBorders>
            <w:tcW w:w="1989" w:type="dxa"/>
            <w:vAlign w:val="center"/>
            <w:textDirection w:val="lrTb"/>
            <w:noWrap w:val="false"/>
          </w:tcPr>
          <w:p>
            <w:pPr>
              <w:ind w:left="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物业反馈（5分）</w:t>
            </w:r>
            <w:r/>
          </w:p>
        </w:tc>
        <w:tc>
          <w:tcPr>
            <w:tcBorders>
              <w:top w:val="single" w:color="auto" w:sz="6" w:space="0"/>
              <w:left w:val="single" w:color="auto" w:sz="6" w:space="0"/>
              <w:bottom w:val="single" w:color="auto" w:sz="12" w:space="0"/>
              <w:right w:val="single" w:color="auto" w:sz="6" w:space="0"/>
            </w:tcBorders>
            <w:tcW w:w="5743" w:type="dxa"/>
            <w:vAlign w:val="center"/>
            <w:textDirection w:val="lrTb"/>
            <w:noWrap w:val="false"/>
          </w:tcPr>
          <w:p>
            <w:pPr>
              <w:ind w:left="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各小区物业对为维护工作投诉，每发现一次扣1分，扣完为止。</w:t>
            </w:r>
            <w:r/>
          </w:p>
        </w:tc>
        <w:tc>
          <w:tcPr>
            <w:tcBorders>
              <w:top w:val="single" w:color="auto" w:sz="6" w:space="0"/>
              <w:left w:val="single" w:color="auto" w:sz="6" w:space="0"/>
              <w:bottom w:val="single" w:color="auto" w:sz="12" w:space="0"/>
              <w:right w:val="single" w:color="auto" w:sz="12" w:space="0"/>
            </w:tcBorders>
            <w:tcW w:w="1493" w:type="dxa"/>
            <w:vAlign w:val="center"/>
            <w:textDirection w:val="lrTb"/>
            <w:noWrap w:val="false"/>
          </w:tcPr>
          <w:p>
            <w:pPr>
              <w:ind w:left="0" w:firstLine="480"/>
              <w:keepLines w:val="0"/>
              <w:keepNext w:val="0"/>
              <w:pageBreakBefore w:val="0"/>
              <w:spacing w:line="360" w:lineRule="auto"/>
              <w:widowControl/>
              <w:tabs>
                <w:tab w:val="left" w:pos="420" w:leader="none"/>
                <w:tab w:val="left" w:pos="5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5分</w:t>
            </w:r>
            <w:r/>
          </w:p>
        </w:tc>
      </w:tr>
    </w:tbl>
    <w:p>
      <w:p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firstLine="480"/>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最终实际付款金额，根据每月考核评分情况计算的平均考核得分支付，具体方式如下：</w:t>
      </w:r>
      <w:r/>
    </w:p>
    <w:p>
      <w:pPr>
        <w:numPr>
          <w:ilvl w:val="0"/>
          <w:numId w:val="4"/>
        </w:numPr>
        <w:ind w:left="777" w:hanging="567"/>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当考核结果≥90分时，甲方可按合同全额付款。</w:t>
      </w:r>
      <w:r/>
    </w:p>
    <w:p>
      <w:pPr>
        <w:numPr>
          <w:ilvl w:val="0"/>
          <w:numId w:val="4"/>
        </w:numPr>
        <w:ind w:left="777" w:hanging="567"/>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90分＞考核结果≥80分，实际付款金额=应付金额*90%</w:t>
      </w:r>
      <w:r/>
    </w:p>
    <w:p>
      <w:pPr>
        <w:numPr>
          <w:ilvl w:val="0"/>
          <w:numId w:val="4"/>
        </w:numPr>
        <w:ind w:left="777" w:hanging="567"/>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80分＞考核结果≥70分，实际付款金额=应付金额*70%</w:t>
      </w:r>
      <w:r/>
    </w:p>
    <w:p>
      <w:pPr>
        <w:numPr>
          <w:ilvl w:val="0"/>
          <w:numId w:val="4"/>
        </w:numPr>
        <w:ind w:left="777" w:hanging="567"/>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70分＞考核结果≥60分，实际付款金额=应付金额*50%</w:t>
      </w:r>
      <w:r/>
    </w:p>
    <w:p>
      <w:pPr>
        <w:numPr>
          <w:ilvl w:val="0"/>
          <w:numId w:val="4"/>
        </w:numPr>
        <w:ind w:left="777" w:hanging="567"/>
        <w:jc w:val="both"/>
        <w:keepLines w:val="0"/>
        <w:keepNext w:val="0"/>
        <w:pageBreakBefore w:val="0"/>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低于60分的，整改达60分以上后，实际付款金额=应付金额*40%</w:t>
      </w:r>
      <w:r/>
    </w:p>
    <w:p>
      <w:pPr>
        <w:numPr>
          <w:ilvl w:val="0"/>
          <w:numId w:val="0"/>
        </w:numPr>
        <w:ind w:firstLine="24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支付方式：采用数字人民币转账支付。</w:t>
      </w:r>
      <w:r/>
    </w:p>
    <w:p>
      <w:pPr>
        <w:numPr>
          <w:ilvl w:val="0"/>
          <w:numId w:val="0"/>
        </w:numPr>
        <w:ind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账户信息</w:t>
      </w:r>
      <w:r/>
    </w:p>
    <w:p>
      <w:pPr>
        <w:numPr>
          <w:ilvl w:val="0"/>
          <w:numId w:val="0"/>
        </w:numPr>
        <w:ind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乙方开户名称：；</w:t>
      </w:r>
      <w:r/>
    </w:p>
    <w:p>
      <w:pPr>
        <w:numPr>
          <w:ilvl w:val="0"/>
          <w:numId w:val="0"/>
        </w:numPr>
        <w:ind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w:t>
      </w:r>
      <w:r/>
    </w:p>
    <w:p>
      <w:pPr>
        <w:numPr>
          <w:ilvl w:val="0"/>
          <w:numId w:val="0"/>
        </w:numPr>
        <w:ind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数字钱包编号：；</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420" w:firstLine="48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420" w:firstLine="48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五、甲、乙双方的责任</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1.甲方责任：</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1.1依本合同约定按期支付合同款项；</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1.2依本合同约定及时组织验收；</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1.3协助乙方进行项目的相关协调工作及约定期限内提供相关资料以利于开展项目。</w:t>
      </w:r>
      <w:r/>
    </w:p>
    <w:p>
      <w:p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2.乙方责任：</w:t>
      </w:r>
      <w:r/>
    </w:p>
    <w:p>
      <w:pPr>
        <w:ind w:left="0" w:firstLine="48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82"/>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六、违约责任</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1.甲方违约责任：</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1.1在合同生效后，甲方无故要求解除合同的，应向乙方偿付合同总价款5%的违约金，违约金不足以补偿损失的，乙方有权要求甲方补足。</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1.2甲方逾期付款的应按照逾期付款金额的每天万分之四支付逾期付款违约金，总额不超总价款的5%。</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2.乙方的违约责任：</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在合同生效后，乙方无故要求解除合同的，应向甲方偿付合同总价款5%的违约金，违约金不足以补偿损失的，甲方有权要求乙方补足。</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2.3乙方必须自己完成合同内容，不得自行分包，否则，甲方有权按乙方不能完成合同处理。</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2.4乙方应执行国家有关规定（如苏州最低工资标准和其他规定），负责乙方员工的生病、事故、伤残、死亡和劳务纠纷，甲方不承担任何相关责任。</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2.5乙方负有对自己员工的安全责任，甲方不承担任何相关责任。</w:t>
      </w:r>
      <w:r/>
    </w:p>
    <w:p>
      <w:pPr>
        <w:ind w:left="0" w:firstLine="0"/>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numPr>
          <w:ilvl w:val="0"/>
          <w:numId w:val="5"/>
        </w:numPr>
        <w:ind w:left="0" w:firstLine="482"/>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履约验收方案</w:t>
      </w:r>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1、按采购文件要求及国家相关法律法规组织验收</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Times New Roman"/>
          <w:sz w:val="24"/>
          <w:szCs w:val="22"/>
          <w:highlight w:val="none"/>
          <w:lang w:eastAsia="zh-CN"/>
        </w:rPr>
      </w:pPr>
      <w:r>
        <w:rPr>
          <w:rFonts w:hint="eastAsia" w:ascii="宋体" w:hAnsi="宋体" w:eastAsia="宋体" w:cs="Times New Roman"/>
          <w:sz w:val="24"/>
          <w:szCs w:val="22"/>
          <w:highlight w:val="none"/>
        </w:rPr>
        <w:t xml:space="preserve">2、验收结果不符合采购要求的，采购方有权终止合同，一切损失、检测费用及专家费用等由成交方承担</w:t>
      </w:r>
      <w:r>
        <w:rPr>
          <w:rFonts w:hint="eastAsia" w:ascii="宋体" w:hAnsi="宋体" w:eastAsia="宋体" w:cs="Times New Roman"/>
          <w:sz w:val="24"/>
          <w:szCs w:val="22"/>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rPr>
        <w:t xml:space="preserve">3、验收标准根据有关规定及技术要求，验收通过为准</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Calibri" w:hAnsi="Calibri" w:eastAsia="宋体"/>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本项目将根据服务的质量、效率、专业性按月由姑苏区政务信息中心进行量化考核，完成全部维保服务工作并履约验收。履约验收标准详见《运维服务考核表》</w:t>
      </w:r>
      <w:r>
        <w:rPr>
          <w:rFonts w:hint="eastAsia" w:ascii="宋体" w:hAnsi="宋体" w:eastAsia="宋体" w:cs="宋体"/>
          <w:color w:val="000000"/>
          <w:sz w:val="24"/>
          <w:szCs w:val="24"/>
          <w:highlight w:val="none"/>
          <w:lang w:eastAsia="zh-CN"/>
        </w:rPr>
        <w:t xml:space="preserve">。</w:t>
      </w:r>
      <w:r/>
    </w:p>
    <w:p>
      <w:pPr>
        <w:ind w:left="0" w:firstLine="482"/>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、不可抗力</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、争端的解决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2.如果调解不成，双方中的任何一方可向人民法院提起诉讼。诉讼由合同签订地人民法院管辖。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3.诉讼费由败诉方负担。</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4.因合同部分履行引发诉讼的，在诉讼期间，除正在进行诉讼的部分外，本合同的其它部分应继续执行。</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rPr>
        <w:t xml:space="preserve">、违约终止合同</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1.在甲方因乙方违约而按合同约定采取的任何补救措施不受影响的情况下，甲方可在下列情况下向乙方发出书面通知，提出终止部分或全部合同。</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如果乙方未能在合同规定的限期或甲方同意延长的限期内提供部分或全部服务。</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如果乙方未能履行合同规定的其它任何义务。</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3.如果甲方违约，应承担相应的违约责任。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十一</w:t>
      </w:r>
      <w:r>
        <w:rPr>
          <w:rFonts w:hint="eastAsia" w:ascii="宋体" w:hAnsi="宋体" w:eastAsia="宋体" w:cs="宋体"/>
          <w:b/>
          <w:color w:val="000000"/>
          <w:sz w:val="24"/>
          <w:szCs w:val="24"/>
          <w:highlight w:val="none"/>
        </w:rPr>
        <w:t xml:space="preserve">、破产终止合同：</w:t>
      </w:r>
      <w:r>
        <w:rPr>
          <w:rFonts w:hint="eastAsia" w:ascii="宋体" w:hAnsi="宋体" w:eastAsia="宋体" w:cs="宋体"/>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、政府采购法对政府采购合同变更终止的规定：</w:t>
      </w:r>
      <w:r>
        <w:rPr>
          <w:rFonts w:hint="eastAsia" w:ascii="宋体" w:hAnsi="宋体" w:eastAsia="宋体" w:cs="宋体"/>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、合同转让和分包：</w:t>
      </w:r>
      <w:r>
        <w:rPr>
          <w:rFonts w:hint="eastAsia" w:ascii="宋体" w:hAnsi="宋体" w:eastAsia="宋体" w:cs="宋体"/>
          <w:color w:val="000000"/>
          <w:sz w:val="24"/>
          <w:szCs w:val="24"/>
          <w:highlight w:val="none"/>
        </w:rPr>
        <w:t xml:space="preserve">本项目不得转让和分包。</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、需要补充的合同条款：</w:t>
      </w:r>
      <w:r>
        <w:rPr>
          <w:rFonts w:hint="eastAsia" w:ascii="宋体" w:hAnsi="宋体" w:eastAsia="宋体" w:cs="宋体"/>
          <w:color w:val="000000"/>
          <w:sz w:val="24"/>
          <w:szCs w:val="24"/>
          <w:highlight w:val="none"/>
        </w:rPr>
        <w:t xml:space="preserve">（根据评审过程中或者商务谈判时商定的条款和条件在订立合同时标明）。</w:t>
      </w:r>
      <w:r/>
    </w:p>
    <w:p>
      <w:pPr>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、合同生效</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1.双方签约人为各自法定代表人或被授权代表。</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2.本合同系指本文件及其附件中的所有部分，采购文件、成交单位的响应文件、成交通知书、成交单位在采购过程中的澄清和承诺等为本合同不可缺少的组成部分。</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3.本合同自甲乙双方签字盖章之日起生效。</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4.本合同壹式</w:t>
      </w:r>
      <w:r>
        <w:rPr>
          <w:rFonts w:hint="eastAsia" w:ascii="宋体" w:hAnsi="宋体" w:eastAsia="宋体" w:cs="宋体"/>
          <w:b/>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份，甲乙双方各执</w:t>
      </w:r>
      <w:r>
        <w:rPr>
          <w:rFonts w:hint="eastAsia" w:ascii="宋体" w:hAnsi="宋体" w:eastAsia="宋体" w:cs="宋体"/>
          <w:b/>
          <w:color w:val="000000"/>
          <w:sz w:val="24"/>
          <w:szCs w:val="24"/>
          <w:highlight w:val="none"/>
        </w:rPr>
        <w:t xml:space="preserve">贰</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及政府采购管理部门各持</w:t>
      </w:r>
      <w:r>
        <w:rPr>
          <w:rFonts w:hint="eastAsia" w:ascii="宋体" w:hAnsi="宋体" w:eastAsia="宋体" w:cs="宋体"/>
          <w:b/>
          <w:bCs/>
          <w:color w:val="000000"/>
          <w:sz w:val="24"/>
          <w:szCs w:val="24"/>
          <w:highlight w:val="none"/>
          <w:lang w:val="en-US" w:eastAsia="zh-CN"/>
        </w:rPr>
        <w:t xml:space="preserve">壹</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各份具有同等法律效力。</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5.本合同应按照中华人民共和国的现行法律进行解释。</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6.合同修改：除甲乙双方签署书面修改、补充协议，并成为本合同不可分割的一部分之外，本合同条件不得有任何变化或修改。 </w:t>
      </w:r>
      <w:r/>
    </w:p>
    <w:p>
      <w:pPr>
        <w:ind w:left="420" w:firstLine="480"/>
        <w:jc w:val="both"/>
        <w:keepLines w:val="0"/>
        <w:keepNext w:val="0"/>
        <w:pageBreakBefore w:val="0"/>
        <w:spacing w:after="12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                                      乙方（公章）：</w:t>
      </w:r>
      <w:r/>
    </w:p>
    <w:p>
      <w:pPr>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法定代表人或授权代表（签字或盖章）：                法定代表人或授权代表（签字或盖章）： </w:t>
      </w:r>
      <w:r/>
    </w:p>
    <w:p>
      <w:pPr>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签约日期： </w:t>
      </w:r>
      <w:r/>
    </w:p>
    <w:p>
      <w:pPr>
        <w:ind w:lef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合同签定地：</w:t>
      </w:r>
      <w:r/>
    </w:p>
    <w:p>
      <w:pPr>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（以下无正文）</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r>
      <w:r/>
    </w:p>
    <w:p>
      <w:pPr>
        <w:pStyle w:val="871"/>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00"/>
        <w:rPr>
          <w:rFonts w:eastAsia="宋体" w:cs="Times New Roman"/>
          <w:color w:val="auto"/>
          <w:highlight w:val="none"/>
        </w:rPr>
      </w:pPr>
      <w:r>
        <w:rPr>
          <w:rFonts w:eastAsia="宋体" w:cs="Times New Roman"/>
          <w:color w:val="auto"/>
          <w:highlight w:val="none"/>
        </w:rPr>
      </w:r>
      <w:r/>
    </w:p>
    <w:p>
      <w:pPr>
        <w:pStyle w:val="700"/>
        <w:rPr>
          <w:rFonts w:eastAsia="宋体" w:cs="Times New Roman"/>
          <w:color w:val="auto"/>
          <w:highlight w:val="none"/>
        </w:rPr>
      </w:pPr>
      <w:r>
        <w:rPr>
          <w:rFonts w:eastAsia="宋体" w:cs="Times New Roman"/>
          <w:color w:val="auto"/>
          <w:highlight w:val="none"/>
        </w:rPr>
      </w:r>
      <w:r/>
    </w:p>
    <w:p>
      <w:pPr>
        <w:jc w:val="both"/>
        <w:keepLines/>
        <w:keepNext/>
        <w:spacing w:before="340" w:after="330" w:line="578" w:lineRule="auto"/>
        <w:rPr>
          <w:rFonts w:hint="eastAsia"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r>
      <w:r/>
    </w:p>
    <w:p>
      <w:pPr>
        <w:pStyle w:val="700"/>
        <w:rPr>
          <w:rFonts w:hint="eastAsia" w:ascii="宋体" w:hAnsi="宋体" w:eastAsia="宋体" w:cs="Times New Roman"/>
          <w:b/>
          <w:color w:val="auto"/>
          <w:sz w:val="52"/>
          <w:highlight w:val="none"/>
        </w:rPr>
      </w:pPr>
      <w:r>
        <w:rPr>
          <w:rFonts w:hint="eastAsia" w:ascii="宋体" w:hAnsi="宋体" w:eastAsia="宋体" w:cs="Times New Roman"/>
          <w:b/>
          <w:color w:val="auto"/>
          <w:sz w:val="52"/>
          <w:highlight w:val="none"/>
        </w:rPr>
      </w:r>
      <w:r/>
    </w:p>
    <w:p>
      <w:pPr>
        <w:pStyle w:val="700"/>
        <w:ind w:left="0" w:firstLine="0"/>
        <w:rPr>
          <w:rFonts w:hint="eastAsia" w:ascii="宋体" w:hAnsi="宋体" w:eastAsia="宋体" w:cs="Times New Roman"/>
          <w:b/>
          <w:color w:val="auto"/>
          <w:sz w:val="52"/>
          <w:highlight w:val="none"/>
        </w:rPr>
      </w:pPr>
      <w:r>
        <w:rPr>
          <w:rFonts w:hint="eastAsia" w:ascii="宋体" w:hAnsi="宋体" w:eastAsia="宋体" w:cs="Times New Roman"/>
          <w:b/>
          <w:color w:val="auto"/>
          <w:sz w:val="52"/>
          <w:highlight w:val="none"/>
        </w:rPr>
      </w:r>
      <w:r/>
    </w:p>
    <w:p>
      <w:pPr>
        <w:pStyle w:val="700"/>
        <w:rPr>
          <w:rFonts w:hint="eastAsia" w:ascii="宋体" w:hAnsi="宋体" w:eastAsia="宋体" w:cs="Times New Roman"/>
          <w:b/>
          <w:color w:val="auto"/>
          <w:sz w:val="52"/>
          <w:highlight w:val="none"/>
        </w:rPr>
      </w:pPr>
      <w:r>
        <w:rPr>
          <w:rFonts w:hint="eastAsia" w:ascii="宋体" w:hAnsi="宋体" w:eastAsia="宋体" w:cs="Times New Roman"/>
          <w:b/>
          <w:color w:val="auto"/>
          <w:sz w:val="52"/>
          <w:highlight w:val="none"/>
        </w:rPr>
      </w:r>
      <w:r/>
    </w:p>
    <w:p>
      <w:pPr>
        <w:jc w:val="center"/>
        <w:keepLines/>
        <w:keepNext/>
        <w:spacing w:before="340" w:after="330" w:line="578" w:lineRule="auto"/>
        <w:rPr>
          <w:rFonts w:ascii="宋体" w:hAnsi="宋体" w:eastAsia="宋体" w:cs="Times New Roman"/>
          <w:b/>
          <w:color w:val="auto"/>
          <w:sz w:val="52"/>
          <w:highlight w:val="none"/>
        </w:rPr>
        <w:outlineLvl w:val="0"/>
      </w:pPr>
      <w:r>
        <w:rPr>
          <w:rFonts w:hint="eastAsia" w:ascii="宋体" w:hAnsi="宋体" w:eastAsia="宋体" w:cs="Times New Roman"/>
          <w:b/>
          <w:color w:val="auto"/>
          <w:sz w:val="52"/>
          <w:highlight w:val="none"/>
        </w:rPr>
        <w:t xml:space="preserve">第六章 评标办法及标准</w:t>
      </w:r>
      <w:bookmarkEnd w:id="11"/>
      <w:r/>
      <w:r/>
    </w:p>
    <w:p>
      <w:pPr>
        <w:jc w:val="left"/>
        <w:widowControl/>
        <w:rPr>
          <w:rFonts w:ascii="宋体" w:hAnsi="宋体" w:eastAsia="宋体" w:cs="Times New Roman"/>
          <w:color w:val="auto"/>
          <w:sz w:val="26"/>
          <w:szCs w:val="20"/>
          <w:highlight w:val="none"/>
        </w:rPr>
      </w:pPr>
      <w:r>
        <w:rPr>
          <w:rFonts w:ascii="宋体" w:hAnsi="宋体" w:eastAsia="宋体" w:cs="Times New Roman"/>
          <w:color w:val="auto"/>
          <w:sz w:val="26"/>
          <w:szCs w:val="20"/>
          <w:highlight w:val="none"/>
        </w:rPr>
      </w:r>
      <w:r/>
    </w:p>
    <w:p>
      <w:pPr>
        <w:ind w:firstLine="420"/>
        <w:jc w:val="left"/>
        <w:spacing w:line="360" w:lineRule="auto"/>
        <w:widowControl/>
        <w:rPr>
          <w:rFonts w:ascii="宋体" w:hAnsi="宋体" w:eastAsia="宋体" w:cs="Times New Roman"/>
          <w:color w:val="auto"/>
          <w:sz w:val="24"/>
          <w:highlight w:val="none"/>
        </w:rPr>
      </w:pPr>
      <w:r>
        <w:rPr>
          <w:rFonts w:ascii="宋体" w:hAnsi="宋体" w:eastAsia="宋体" w:cs="Times New Roman"/>
          <w:b/>
          <w:color w:val="auto"/>
          <w:sz w:val="24"/>
          <w:szCs w:val="20"/>
          <w:highlight w:val="none"/>
        </w:rPr>
        <w:br w:type="page" w:clear="all"/>
      </w:r>
      <w:r/>
    </w:p>
    <w:p>
      <w:pPr>
        <w:numPr>
          <w:ilvl w:val="0"/>
          <w:numId w:val="6"/>
        </w:numPr>
        <w:jc w:val="center"/>
        <w:spacing w:after="312" w:line="480" w:lineRule="auto"/>
        <w:widowControl w:val="off"/>
        <w:tabs>
          <w:tab w:val="right" w:pos="8302" w:leader="dot"/>
        </w:tabs>
        <w:rPr>
          <w:rFonts w:hint="eastAsia" w:ascii="黑体" w:hAnsi="黑体" w:eastAsia="黑体" w:cs="宋体"/>
          <w:b/>
          <w:color w:val="auto"/>
          <w:sz w:val="32"/>
          <w:szCs w:val="32"/>
          <w:highlight w:val="none"/>
          <w:lang w:val="en-US" w:eastAsia="zh-CN" w:bidi="ar-SA"/>
        </w:rPr>
      </w:pPr>
      <w:r>
        <w:rPr>
          <w:rFonts w:hint="eastAsia" w:ascii="黑体" w:hAnsi="黑体" w:eastAsia="黑体" w:cs="宋体"/>
          <w:b/>
          <w:color w:val="auto"/>
          <w:sz w:val="32"/>
          <w:szCs w:val="32"/>
          <w:highlight w:val="none"/>
          <w:lang w:val="en-US" w:eastAsia="zh-CN" w:bidi="ar-SA"/>
        </w:rPr>
        <w:t xml:space="preserve"> 评标办法及评分标准</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一、评审方法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（一）评标方法采用综合评分法，即指投标文件满足招标文件全部实质性要求，且按照评审因素的量化指标评审得分最高的投标人为中标候选人的评标方法。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二）采用综合评分法的，评标结果按评审后得分由高到低顺序排列。得分相同的，按投标报价由低到高顺序排列，以投标报价最低的优先作为中标人；得分且投标报价相同的，则由公证机构组织以抽签方式确定中标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三）评标时，评标委员会分别对每个有效投标人的投标书（报价除外）进行评价、打分，按算术平均方法计算出每个投标人的得分；对评委的评分（除价格分外）进行统计汇总。报价得分直接计算取得，二者相加为投标人的总得分。（保留小数点后二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（四）评审过程中出现下列情形之一的，评审委员会应当启动异常低价投标（响应）审查程序：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1.投标（响应）报价低于采购项目预算 50% 的，即投标（响应）报价&lt;采购项目预算×50%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2.投标（响应）报价低于采购项目最高限价 45% 的，即投标（响应）报价&lt;采购项目最高限价×45%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3.评审委员会认定的供应商报价过低、有可能影响产品质量或者不能诚信履约的其他情形。</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left"/>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二、评分标准</w:t>
      </w:r>
      <w:r/>
    </w:p>
    <w:p>
      <w:pPr>
        <w:ind w:firstLine="482"/>
        <w:keepLines w:val="0"/>
        <w:keepNext w:val="0"/>
        <w:pageBreakBefore w:val="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 (10分)</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第一步：响应总报价低于或等于财政预算价格的，为有效响应报价。超财政预算的响应报价为无效响应报价。</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第二步：在所有有效响应报价中满足采购文件要求，且响应价格最低的响应报价为评标基准价，其他</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的价格分按照下列公式计算（计算结果四舍五入保留两位小数）。</w:t>
      </w:r>
      <w:r/>
    </w:p>
    <w:p>
      <w:pPr>
        <w:ind w:left="479" w:firstLine="67"/>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投标报价得分＝（评标基准价/投标报价）×价格权值×100（价格权值为10%）</w:t>
      </w:r>
      <w:r/>
    </w:p>
    <w:p>
      <w:pPr>
        <w:ind w:left="479" w:firstLine="67"/>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服务方案比较（</w:t>
      </w:r>
      <w:r>
        <w:rPr>
          <w:rFonts w:hint="eastAsia" w:ascii="宋体" w:hAnsi="宋体" w:cs="宋体"/>
          <w:b/>
          <w:bCs/>
          <w:color w:val="auto"/>
          <w:sz w:val="24"/>
          <w:szCs w:val="24"/>
          <w:highlight w:val="none"/>
          <w:lang w:val="en-US" w:eastAsia="zh-CN"/>
        </w:rPr>
        <w:t xml:space="preserve">68</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1.项目现状分析及理解：</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人采购需求结合本项目实际情况，对本次维护的点位及区域的视频监控现状，存在问题进行充分分析，理解并结合项目背景，对项目需求、项目定位认识深刻，对本项目建设内容充分理解。对本期项目现状背景、项目定位认识清晰，需求分析准确合理，目标理解透彻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分；对本项目现状背景、项目定位认识较清晰，需求分析较准确合理，目标理解较透彻的得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分；对本项目建设背景、项目定位认识一般，需求分析一般，目标理解一般的得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分；未提供不得分。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2.离线监控恢复实施方案：</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部分项目因脱保时间较长，设备异常及坏损情况较为严重，线路及电源断开情况较为严重，视频上线率较低，为保障视频上线率90%以上，投标人因针对本次涉及的点位及区域逐一分析实际情况，提出针对已离线的视频监控的恢复实施方案。方案合理、针对性抢、专业性强、可操作性强、与现状符合度高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分；方案较合理、针对性较强、专业性较强、可操作性较强、与现状符合度较高的得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分；方案不够合理、专业性一般、可操作性差、与用户需求贴合度一般的得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分；未提供不得分。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w:t>
      </w:r>
      <w:r>
        <w:rPr>
          <w:rFonts w:hint="eastAsia" w:ascii="宋体" w:hAnsi="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架构方案：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由于本项目维护区域较多且分散，为实现统一管理、指挥调度，响应人针对本项目提出</w:t>
      </w:r>
      <w:r>
        <w:rPr>
          <w:rFonts w:hint="eastAsia" w:ascii="宋体" w:hAnsi="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架构方案。方案合理、专业性强、可操作性强的得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分；方案较合理、专业性较强、可操作性较强的得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分；方案不够合理、专业性一般、可操作性差的得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4.视频安全方案：</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本次运维涉及的视频依据相关要求，</w:t>
      </w:r>
      <w:r>
        <w:rPr>
          <w:rFonts w:hint="eastAsia" w:ascii="宋体" w:hAnsi="宋体" w:cs="宋体"/>
          <w:color w:val="auto"/>
          <w:sz w:val="24"/>
          <w:szCs w:val="24"/>
          <w:highlight w:val="none"/>
          <w:lang w:val="en-US" w:eastAsia="zh-CN"/>
        </w:rPr>
        <w:t xml:space="preserve">对接</w:t>
      </w:r>
      <w:r>
        <w:rPr>
          <w:rFonts w:hint="eastAsia" w:ascii="宋体" w:hAnsi="宋体" w:eastAsia="宋体" w:cs="宋体"/>
          <w:color w:val="auto"/>
          <w:sz w:val="24"/>
          <w:szCs w:val="24"/>
          <w:highlight w:val="none"/>
        </w:rPr>
        <w:t xml:space="preserve">姑苏区城市运行联动指挥中心统一视频平台，响应人针对本项目提出视频安全方案。</w:t>
      </w:r>
      <w:r>
        <w:rPr>
          <w:rFonts w:hint="eastAsia" w:ascii="宋体" w:hAnsi="宋体" w:cs="宋体"/>
          <w:color w:val="auto"/>
          <w:sz w:val="24"/>
          <w:szCs w:val="24"/>
          <w:highlight w:val="none"/>
          <w:lang w:val="en-US" w:eastAsia="zh-CN"/>
        </w:rPr>
        <w:t xml:space="preserve">安全方案体现视频汇聚准入基本接口配置、汇聚准入策略控制、加强型接口准入、视频传输过程采用安全设备进行管控、安全设备IP级双向访问策略控制、安全设备应用层级别数据过滤的，每一条得2分，最高得12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5.视频监控公共共享平台对接方案：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次运维涉及的视频依据相关要求，项目涉及小区及区域均需接入姑苏区城市运行联动中心负责的姑苏区视频监控公共共享平台，通过该平台面向全区其他政务部门提供视频资源的共享。响应人提出与姑苏区统一视频平台对接方案。</w:t>
      </w:r>
      <w:bookmarkStart w:id="23" w:name="_Hlk135318024"/>
      <w:r>
        <w:rPr>
          <w:rFonts w:hint="eastAsia" w:ascii="宋体" w:hAnsi="宋体" w:eastAsia="宋体" w:cs="宋体"/>
          <w:color w:val="auto"/>
          <w:sz w:val="24"/>
          <w:szCs w:val="24"/>
          <w:highlight w:val="none"/>
        </w:rPr>
        <w:t xml:space="preserve">方案合理、专业性强、可操作性强的得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分；方案较合理、专业性较强、可操作性较强的得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分；方案不够合理、专业性一般、可操作性差的得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未提供不得分</w:t>
      </w:r>
      <w:r>
        <w:rPr>
          <w:rFonts w:hint="eastAsia" w:ascii="宋体" w:hAnsi="宋体" w:cs="宋体"/>
          <w:color w:val="auto"/>
          <w:sz w:val="24"/>
          <w:szCs w:val="24"/>
          <w:highlight w:val="none"/>
          <w:lang w:val="en-US" w:eastAsia="zh-CN"/>
        </w:rPr>
        <w:t xml:space="preserve">。</w:t>
      </w:r>
      <w:bookmarkEnd w:id="23"/>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视频监控标签</w:t>
      </w:r>
      <w:r>
        <w:rPr>
          <w:rFonts w:hint="eastAsia" w:ascii="宋体" w:hAnsi="宋体" w:eastAsia="宋体" w:cs="宋体"/>
          <w:color w:val="auto"/>
          <w:sz w:val="24"/>
          <w:szCs w:val="24"/>
          <w:highlight w:val="none"/>
        </w:rPr>
        <w:t xml:space="preserve">管理方案：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依据姑苏区视频办相关要求，为方便全区各部门查询调阅视频，保证前端点位信息更新的及时性和准确性，接入全区统一视频平台的视频建设及管理单位需依据管理要求负责完成视频标签梳理工作</w:t>
      </w:r>
      <w:r>
        <w:rPr>
          <w:rFonts w:hint="eastAsia" w:ascii="宋体" w:hAnsi="宋体" w:cs="宋体"/>
          <w:color w:val="auto"/>
          <w:sz w:val="24"/>
          <w:szCs w:val="24"/>
          <w:highlight w:val="none"/>
          <w:lang w:eastAsia="zh-CN"/>
        </w:rPr>
        <w:t xml:space="preserve">，通过给摄像机赋予单个或多个标签，使其具备可以被快速分组和查询的能力，从而实现依据不同的业务需求，可以快速定位到有业务属性标签的摄像机，快速调用</w:t>
      </w:r>
      <w:r>
        <w:rPr>
          <w:rFonts w:hint="eastAsia" w:ascii="宋体" w:hAnsi="宋体" w:eastAsia="宋体" w:cs="宋体"/>
          <w:color w:val="auto"/>
          <w:sz w:val="24"/>
          <w:szCs w:val="24"/>
          <w:highlight w:val="none"/>
        </w:rPr>
        <w:t xml:space="preserve">。响应人需提出视频标签的梳理及管理方案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所属部门、区域（街道、社区）、关键字（依据摄像机属性的常用关键字设立标签，如地址关键字xx河、xx路等，智能识别关键字人脸识别、聚集分析、高空抛物等，业务关键字排污口、危险品存放地等）三个维度进行自定义标签，每提供一个维度方案</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得3分；</w:t>
      </w:r>
      <w:r>
        <w:rPr>
          <w:rFonts w:hint="eastAsia" w:ascii="宋体" w:hAnsi="宋体" w:cs="宋体"/>
          <w:color w:val="auto"/>
          <w:sz w:val="24"/>
          <w:szCs w:val="24"/>
          <w:highlight w:val="none"/>
          <w:lang w:val="en-US" w:eastAsia="zh-CN"/>
        </w:rPr>
        <w:t xml:space="preserve">最高得9分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7.监控日常维护服务方案：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响应人针对本项目实际提出针对</w:t>
      </w:r>
      <w:r>
        <w:rPr>
          <w:rFonts w:hint="eastAsia" w:ascii="宋体" w:hAnsi="宋体" w:cs="宋体"/>
          <w:color w:val="auto"/>
          <w:sz w:val="24"/>
          <w:szCs w:val="24"/>
          <w:highlight w:val="none"/>
          <w:lang w:val="en-US" w:eastAsia="zh-CN"/>
        </w:rPr>
        <w:t xml:space="preserve">监控</w:t>
      </w:r>
      <w:r>
        <w:rPr>
          <w:rFonts w:hint="eastAsia" w:ascii="宋体" w:hAnsi="宋体" w:eastAsia="宋体" w:cs="宋体"/>
          <w:color w:val="auto"/>
          <w:sz w:val="24"/>
          <w:szCs w:val="24"/>
          <w:highlight w:val="none"/>
        </w:rPr>
        <w:t xml:space="preserve">日常运行维护服务。方案完善合理、专业性强、操作性高、与用户需求贴合度高的得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分；方案较合理、专业性较强、可操作性较高、与用户需求贴合度较高的得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分；方案不够完善合理、专业性差、操作性差、与用户需求贴合度差的得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8.应急保障方案：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响应人提出针对突发情况、重大事件及活动的应急保障方案。方案完善合理、专业性强、操作性高、与用户需求贴合度高的得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分；方案不够完善合理、专业性一般、操作性一般、与用户需求贴合度一般的得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分；方案不完善、专业性低、操作性差、与客户需求贴合度低得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分；未提供不得分。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9.项目验收与移交方案：</w:t>
      </w:r>
      <w:r>
        <w:rPr>
          <w:rFonts w:hint="default"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响应人针对本项目实际提出考核验收移交方案。方案完善合理、专业性强、可操作性高、与用户需求贴合度高的得</w:t>
      </w:r>
      <w:r>
        <w:rPr>
          <w:rFonts w:hint="default"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分；方案不够完善合理、专业性一般、操作性一般、与用户需求贴合度一般的得</w:t>
      </w:r>
      <w:r>
        <w:rPr>
          <w:rFonts w:hint="default"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分；方案不完善合理、专业性低、操作性差、与用户需求贴合度低的得</w:t>
      </w:r>
      <w:r>
        <w:rPr>
          <w:rFonts w:hint="default"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分；未提供不得分。</w:t>
      </w:r>
      <w:r/>
    </w:p>
    <w:p>
      <w:pPr>
        <w:numPr>
          <w:ilvl w:val="0"/>
          <w:numId w:val="7"/>
        </w:num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服务质量保证</w:t>
      </w:r>
      <w:r>
        <w:rPr>
          <w:rFonts w:hint="eastAsia" w:ascii="宋体" w:hAnsi="宋体" w:cs="宋体"/>
          <w:b/>
          <w:bCs/>
          <w:color w:val="auto"/>
          <w:sz w:val="24"/>
          <w:szCs w:val="24"/>
          <w:highlight w:val="none"/>
          <w:lang w:val="en-US" w:eastAsia="zh-CN"/>
        </w:rPr>
        <w:t xml:space="preserve">（6分）</w:t>
      </w:r>
      <w:r/>
    </w:p>
    <w:p>
      <w:pPr>
        <w:numPr>
          <w:ilvl w:val="0"/>
          <w:numId w:val="0"/>
        </w:numPr>
        <w:jc w:val="left"/>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因</w:t>
      </w:r>
      <w:r>
        <w:rPr>
          <w:rFonts w:hint="eastAsia" w:ascii="宋体" w:hAnsi="宋体" w:eastAsia="宋体" w:cs="宋体"/>
          <w:color w:val="auto"/>
          <w:sz w:val="24"/>
          <w:szCs w:val="24"/>
          <w:highlight w:val="none"/>
        </w:rPr>
        <w:t xml:space="preserve">本次项目需要运维的监控点位</w:t>
      </w:r>
      <w:r>
        <w:rPr>
          <w:rFonts w:hint="eastAsia" w:ascii="宋体" w:hAnsi="宋体" w:cs="宋体"/>
          <w:color w:val="auto"/>
          <w:sz w:val="24"/>
          <w:szCs w:val="24"/>
          <w:highlight w:val="none"/>
          <w:lang w:val="en-US" w:eastAsia="zh-CN"/>
        </w:rPr>
        <w:t xml:space="preserve">数量较多、区域分散、周期较长，考虑与</w:t>
      </w:r>
      <w:r>
        <w:rPr>
          <w:rFonts w:hint="eastAsia" w:ascii="宋体" w:hAnsi="宋体" w:eastAsia="宋体" w:cs="宋体"/>
          <w:color w:val="auto"/>
          <w:sz w:val="24"/>
          <w:szCs w:val="24"/>
          <w:highlight w:val="none"/>
        </w:rPr>
        <w:t xml:space="preserve">姑苏区城市运行联动中心</w:t>
      </w:r>
      <w:r>
        <w:rPr>
          <w:rFonts w:hint="eastAsia" w:ascii="宋体" w:hAnsi="宋体" w:cs="宋体"/>
          <w:color w:val="auto"/>
          <w:sz w:val="24"/>
          <w:szCs w:val="24"/>
          <w:highlight w:val="none"/>
          <w:lang w:val="en-US" w:eastAsia="zh-CN"/>
        </w:rPr>
        <w:t xml:space="preserve">对接的持续性、保障视频监控在线率达标的要求以及满足未接入部分的接入时间需求，响应单位需派遣专人驻场联动中心进行服务保障工作，承诺在满足不少于4位项目组成员进行服务的基础上，派遣专人驻场的，每增加一名驻场人员的得2分，最高得6分，无驻场承诺的不得分。</w:t>
      </w:r>
      <w:r/>
    </w:p>
    <w:p>
      <w:pPr>
        <w:ind w:firstLine="482"/>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）响应单位综合实力（</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1.响应单位具有有效期内的质量管理体系认证证书、环境管理体系认证证书、职业健康安全管理体系认证证书、信息安全管理体系认证证书，每任意提供一项得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分，最高得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pStyle w:val="716"/>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2.响应单位具有有效期内的ITSS信息技术服务运行维护标准符合性证书三级及以上的得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分。</w:t>
      </w:r>
      <w:r/>
    </w:p>
    <w:p>
      <w:pPr>
        <w:pStyle w:val="716"/>
        <w:ind w:left="0" w:firstLine="480"/>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注：响应文件中须提供以上证书扫描件或网络查询截图并加盖响应单位公章，未提供不得分</w:t>
      </w:r>
      <w:r>
        <w:rPr>
          <w:rFonts w:hint="eastAsia" w:ascii="宋体" w:hAnsi="宋体" w:eastAsia="宋体" w:cs="宋体"/>
          <w:color w:val="auto"/>
          <w:sz w:val="24"/>
          <w:highlight w:val="none"/>
          <w:lang w:val="en-US" w:eastAsia="zh-CN"/>
        </w:rPr>
        <w:t xml:space="preserve">。</w:t>
      </w:r>
      <w:r/>
    </w:p>
    <w:p>
      <w:pPr>
        <w:ind w:firstLine="482"/>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项目组成员（</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1.项目负责人（</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拟投入项目负责人具有注册信息安全专业人员（CISP）资质证书、中级工程师（电子信息或智能化专业）证书</w:t>
      </w:r>
      <w:r>
        <w:rPr>
          <w:rFonts w:hint="eastAsia" w:ascii="宋体" w:hAnsi="宋体" w:eastAsia="宋体" w:cs="Times New Roman"/>
          <w:color w:val="auto"/>
          <w:sz w:val="24"/>
          <w:highlight w:val="none"/>
        </w:rPr>
        <w:t xml:space="preserve">的</w:t>
      </w:r>
      <w:r>
        <w:rPr>
          <w:rFonts w:hint="eastAsia" w:ascii="宋体" w:hAnsi="宋体" w:cs="Times New Roman"/>
          <w:color w:val="auto"/>
          <w:sz w:val="24"/>
          <w:highlight w:val="none"/>
          <w:lang w:eastAsia="zh-CN"/>
        </w:rPr>
        <w:t xml:space="preserve">，</w:t>
      </w:r>
      <w:r>
        <w:rPr>
          <w:rFonts w:hint="eastAsia" w:ascii="宋体" w:hAnsi="宋体" w:eastAsia="宋体" w:cs="宋体"/>
          <w:color w:val="auto"/>
          <w:sz w:val="24"/>
          <w:highlight w:val="none"/>
        </w:rPr>
        <w:t xml:space="preserve">每满足一项得2分，最高得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2.技术负责人（</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拟投入技术负责人具有注册信息安全专业人员（CISP）资质证书</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3.运维工程师（除项目负责人、技术负责人以外）（</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拟投入的运维工程师中具有中级</w:t>
      </w:r>
      <w:r>
        <w:rPr>
          <w:rFonts w:hint="eastAsia" w:ascii="宋体" w:hAnsi="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工程师（通信</w:t>
      </w:r>
      <w:r>
        <w:rPr>
          <w:rFonts w:hint="eastAsia" w:ascii="宋体" w:hAnsi="宋体" w:cs="宋体"/>
          <w:color w:val="auto"/>
          <w:sz w:val="24"/>
          <w:highlight w:val="none"/>
          <w:lang w:val="en-US" w:eastAsia="zh-CN"/>
        </w:rPr>
        <w:t xml:space="preserve">工程、电子信息或智能化</w:t>
      </w:r>
      <w:r>
        <w:rPr>
          <w:rFonts w:hint="eastAsia" w:ascii="宋体" w:hAnsi="宋体" w:cs="宋体"/>
          <w:color w:val="auto"/>
          <w:sz w:val="24"/>
          <w:highlight w:val="none"/>
          <w:lang w:eastAsia="zh-CN"/>
        </w:rPr>
        <w:t xml:space="preserve">专业</w:t>
      </w:r>
      <w:r>
        <w:rPr>
          <w:rFonts w:hint="eastAsia" w:ascii="宋体" w:hAnsi="宋体" w:eastAsia="宋体" w:cs="宋体"/>
          <w:color w:val="auto"/>
          <w:sz w:val="24"/>
          <w:highlight w:val="none"/>
        </w:rPr>
        <w:t xml:space="preserve">）证书的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，最高得2分。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（注：响应文件中须提供相关人员证书、证明扫描件以及响应单位为其缴纳的最近一期社保证明扫描件，未提供不得分）。</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）类似项目业绩（</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响应单位提供自202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年1月1日至今承担的类似项目业绩案例。每提供一份得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分。（注：响应文件中需提供合同扫描件。未按要求提供或未提供不得分。类似业绩日期认定：以签订合同日期为准。）</w:t>
      </w:r>
      <w:r/>
    </w:p>
    <w:p>
      <w:pPr>
        <w:ind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注：（1）报价超过采购预算将不进入综合评审程序，也不得</w:t>
      </w:r>
      <w:r>
        <w:rPr>
          <w:rFonts w:hint="eastAsia" w:ascii="宋体" w:hAnsi="宋体"/>
          <w:b/>
          <w:bCs/>
          <w:color w:val="auto"/>
          <w:sz w:val="24"/>
          <w:szCs w:val="24"/>
          <w:highlight w:val="none"/>
          <w:lang w:val="en-US" w:eastAsia="zh-CN"/>
        </w:rPr>
        <w:t xml:space="preserve">评标</w:t>
      </w:r>
      <w:r>
        <w:rPr>
          <w:rFonts w:ascii="宋体" w:hAnsi="宋体"/>
          <w:b/>
          <w:bCs/>
          <w:color w:val="auto"/>
          <w:sz w:val="24"/>
          <w:szCs w:val="24"/>
          <w:highlight w:val="none"/>
        </w:rPr>
        <w:t xml:space="preserve">。</w:t>
      </w:r>
      <w:r/>
    </w:p>
    <w:p>
      <w:pPr>
        <w:jc w:val="both"/>
        <w:spacing w:line="360" w:lineRule="auto"/>
        <w:rPr>
          <w:rFonts w:hint="eastAsia" w:ascii="黑体" w:hAnsi="黑体" w:eastAsia="黑体" w:cs="宋体"/>
          <w:b/>
          <w:color w:val="auto"/>
          <w:sz w:val="32"/>
          <w:szCs w:val="32"/>
          <w:highlight w:val="none"/>
          <w:lang w:val="en-US" w:eastAsia="zh-CN" w:bidi="ar-SA"/>
        </w:rPr>
      </w:pPr>
      <w:r>
        <w:rPr>
          <w:rFonts w:ascii="宋体" w:hAnsi="宋体"/>
          <w:b/>
          <w:bCs/>
          <w:color w:val="auto"/>
          <w:sz w:val="24"/>
          <w:szCs w:val="24"/>
          <w:highlight w:val="none"/>
        </w:rPr>
        <w:t xml:space="preserve">（2）针对评分标准中评分的每一条，</w:t>
      </w:r>
      <w:r>
        <w:rPr>
          <w:rFonts w:hint="eastAsia" w:ascii="宋体" w:hAnsi="宋体"/>
          <w:b/>
          <w:bCs/>
          <w:color w:val="auto"/>
          <w:sz w:val="24"/>
          <w:szCs w:val="24"/>
          <w:highlight w:val="none"/>
        </w:rPr>
        <w:t xml:space="preserve">响应单位在响应文件中</w:t>
      </w:r>
      <w:r>
        <w:rPr>
          <w:rFonts w:ascii="宋体" w:hAnsi="宋体"/>
          <w:b/>
          <w:bCs/>
          <w:color w:val="auto"/>
          <w:sz w:val="24"/>
          <w:szCs w:val="24"/>
          <w:highlight w:val="none"/>
        </w:rPr>
        <w:t xml:space="preserve">均应提供相关</w:t>
      </w:r>
      <w:r>
        <w:rPr>
          <w:rFonts w:hint="eastAsia" w:ascii="宋体" w:hAnsi="宋体"/>
          <w:b/>
          <w:bCs/>
          <w:color w:val="auto"/>
          <w:sz w:val="24"/>
          <w:szCs w:val="24"/>
          <w:highlight w:val="none"/>
        </w:rPr>
        <w:t xml:space="preserve">对应</w:t>
      </w:r>
      <w:r>
        <w:rPr>
          <w:rFonts w:ascii="宋体" w:hAnsi="宋体"/>
          <w:b/>
          <w:bCs/>
          <w:color w:val="auto"/>
          <w:sz w:val="24"/>
          <w:szCs w:val="24"/>
          <w:highlight w:val="none"/>
        </w:rPr>
        <w:t xml:space="preserve">资料并做出相应说明，供评委评判，</w:t>
      </w:r>
      <w:r>
        <w:rPr>
          <w:rFonts w:hint="eastAsia" w:ascii="宋体" w:hAnsi="宋体"/>
          <w:b/>
          <w:bCs/>
          <w:color w:val="auto"/>
          <w:sz w:val="24"/>
          <w:szCs w:val="24"/>
          <w:highlight w:val="none"/>
        </w:rPr>
        <w:t xml:space="preserve">否则视为不具备相关项得分的条件</w:t>
      </w:r>
      <w:r>
        <w:rPr>
          <w:rFonts w:ascii="宋体" w:hAnsi="宋体"/>
          <w:b/>
          <w:bCs/>
          <w:color w:val="auto"/>
          <w:sz w:val="24"/>
          <w:szCs w:val="24"/>
          <w:highlight w:val="none"/>
        </w:rPr>
        <w:t xml:space="preserve">。</w:t>
      </w:r>
      <w:r>
        <w:rPr>
          <w:rFonts w:hint="eastAsia" w:ascii="宋体" w:hAnsi="宋体" w:eastAsia="宋体" w:cs="宋体"/>
          <w:color w:val="auto"/>
          <w:sz w:val="24"/>
          <w:szCs w:val="22"/>
          <w:highlight w:val="none"/>
        </w:rPr>
        <w:t xml:space="preserve">（全文完）</w:t>
      </w:r>
      <w:r/>
    </w:p>
    <w:sectPr>
      <w:footerReference w:type="default" r:id="rId9"/>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Calibri">
    <w:panose1 w:val="020F0502020204030204"/>
  </w:font>
  <w:font w:name="楷体_GB2312">
    <w:panose1 w:val="02010609060101010101"/>
  </w:font>
  <w:font w:name="黑体">
    <w:panose1 w:val="02010609060101010101"/>
  </w:font>
  <w:font w:name="创艺简仿宋">
    <w:panose1 w:val="020B0503020202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0" w:firstLine="0"/>
      </w:pPr>
      <w:rPr>
        <w:rFonts w:hint="eastAsia"/>
      </w:rPr>
    </w:lvl>
    <w:lvl w:ilvl="2">
      <w:start w:val="1"/>
      <w:numFmt w:val="lowerRoman"/>
      <w:isLgl w:val="false"/>
      <w:suff w:val="tab"/>
      <w:lvlText w:val="%3."/>
      <w:lvlJc w:val="right"/>
      <w:pPr>
        <w:ind w:left="0" w:firstLine="0"/>
      </w:pPr>
      <w:rPr>
        <w:rFonts w:hint="eastAsia"/>
      </w:rPr>
    </w:lvl>
    <w:lvl w:ilvl="3">
      <w:start w:val="1"/>
      <w:numFmt w:val="decimal"/>
      <w:isLgl w:val="false"/>
      <w:suff w:val="tab"/>
      <w:lvlText w:val="%4."/>
      <w:lvlJc w:val="left"/>
      <w:pPr>
        <w:ind w:left="0" w:firstLine="0"/>
      </w:pPr>
      <w:rPr>
        <w:rFonts w:hint="eastAsia"/>
      </w:rPr>
    </w:lvl>
    <w:lvl w:ilvl="4">
      <w:start w:val="1"/>
      <w:numFmt w:val="lowerLetter"/>
      <w:isLgl w:val="false"/>
      <w:suff w:val="tab"/>
      <w:lvlText w:val="%5)"/>
      <w:lvlJc w:val="left"/>
      <w:pPr>
        <w:ind w:left="0" w:firstLine="0"/>
      </w:pPr>
      <w:rPr>
        <w:rFonts w:hint="eastAsia"/>
      </w:rPr>
    </w:lvl>
    <w:lvl w:ilvl="5">
      <w:start w:val="1"/>
      <w:numFmt w:val="lowerRoman"/>
      <w:isLgl w:val="false"/>
      <w:suff w:val="tab"/>
      <w:lvlText w:val="%6."/>
      <w:lvlJc w:val="right"/>
      <w:pPr>
        <w:ind w:left="0" w:firstLine="0"/>
      </w:pPr>
      <w:rPr>
        <w:rFonts w:hint="eastAsia"/>
      </w:rPr>
    </w:lvl>
    <w:lvl w:ilvl="6">
      <w:start w:val="1"/>
      <w:numFmt w:val="decimal"/>
      <w:isLgl w:val="false"/>
      <w:suff w:val="tab"/>
      <w:lvlText w:val="%7."/>
      <w:lvlJc w:val="left"/>
      <w:pPr>
        <w:ind w:left="0" w:firstLine="0"/>
      </w:pPr>
      <w:rPr>
        <w:rFonts w:hint="eastAsia"/>
      </w:rPr>
    </w:lvl>
    <w:lvl w:ilvl="7">
      <w:start w:val="1"/>
      <w:numFmt w:val="lowerLetter"/>
      <w:isLgl w:val="false"/>
      <w:suff w:val="tab"/>
      <w:lvlText w:val="%8)"/>
      <w:lvlJc w:val="left"/>
      <w:pPr>
        <w:ind w:left="0" w:firstLine="0"/>
      </w:pPr>
      <w:rPr>
        <w:rFonts w:hint="eastAsia"/>
      </w:rPr>
    </w:lvl>
    <w:lvl w:ilvl="8">
      <w:start w:val="1"/>
      <w:numFmt w:val="lowerRoman"/>
      <w:isLgl w:val="false"/>
      <w:suff w:val="tab"/>
      <w:lvlText w:val="%9."/>
      <w:lvlJc w:val="right"/>
      <w:pPr>
        <w:ind w:left="0" w:firstLine="0"/>
      </w:pPr>
      <w:rPr>
        <w:rFonts w:hint="eastAsia"/>
      </w:rPr>
    </w:lvl>
  </w:abstractNum>
  <w:abstractNum w:abstractNumId="2">
    <w:multiLevelType w:val="hybridMultilevel"/>
    <w:lvl w:ilvl="0">
      <w:start w:val="1"/>
      <w:numFmt w:val="decimal"/>
      <w:isLgl w:val="false"/>
      <w:suff w:val="tab"/>
      <w:lvlText w:val="(%1)"/>
      <w:lvlJc w:val="left"/>
      <w:pPr>
        <w:ind w:left="777" w:hanging="56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link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name w:val="Heading 1"/>
    <w:basedOn w:val="683"/>
    <w:next w:val="683"/>
    <w:link w:val="721"/>
    <w:uiPriority w:val="9"/>
    <w:qFormat/>
    <w:pPr>
      <w:keepLines/>
      <w:keepNext/>
      <w:spacing w:before="480" w:after="200"/>
      <w:outlineLvl w:val="0"/>
    </w:pPr>
    <w:rPr>
      <w:rFonts w:ascii="Arial" w:hAnsi="Arial" w:eastAsia="Arial" w:cs="Arial"/>
      <w:sz w:val="40"/>
      <w:szCs w:val="40"/>
    </w:rPr>
  </w:style>
  <w:style w:type="paragraph" w:styleId="685">
    <w:name w:val="Heading 2"/>
    <w:basedOn w:val="683"/>
    <w:next w:val="683"/>
    <w:link w:val="722"/>
    <w:uiPriority w:val="9"/>
    <w:unhideWhenUsed/>
    <w:qFormat/>
    <w:pPr>
      <w:keepLines/>
      <w:keepNext/>
      <w:spacing w:before="360" w:after="200"/>
      <w:outlineLvl w:val="1"/>
    </w:pPr>
    <w:rPr>
      <w:rFonts w:ascii="Arial" w:hAnsi="Arial" w:eastAsia="Arial" w:cs="Arial"/>
      <w:sz w:val="34"/>
    </w:rPr>
  </w:style>
  <w:style w:type="paragraph" w:styleId="686">
    <w:name w:val="Heading 3"/>
    <w:basedOn w:val="683"/>
    <w:next w:val="683"/>
    <w:link w:val="723"/>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683"/>
    <w:next w:val="683"/>
    <w:uiPriority w:val="0"/>
    <w:qFormat/>
    <w:pPr>
      <w:keepLines/>
      <w:keepNext/>
      <w:spacing w:before="280" w:after="290" w:line="376" w:lineRule="auto"/>
      <w:outlineLvl w:val="3"/>
    </w:pPr>
    <w:rPr>
      <w:rFonts w:ascii="Arial" w:hAnsi="Arial" w:eastAsia="黑体"/>
      <w:b/>
      <w:bCs/>
      <w:sz w:val="28"/>
      <w:szCs w:val="28"/>
    </w:rPr>
  </w:style>
  <w:style w:type="paragraph" w:styleId="688">
    <w:name w:val="Heading 5"/>
    <w:basedOn w:val="683"/>
    <w:next w:val="683"/>
    <w:link w:val="725"/>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683"/>
    <w:next w:val="683"/>
    <w:link w:val="726"/>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683"/>
    <w:next w:val="683"/>
    <w:link w:val="727"/>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683"/>
    <w:next w:val="683"/>
    <w:link w:val="728"/>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683"/>
    <w:next w:val="683"/>
    <w:link w:val="729"/>
    <w:uiPriority w:val="9"/>
    <w:unhideWhenUsed/>
    <w:qFormat/>
    <w:pPr>
      <w:keepLines/>
      <w:keepNext/>
      <w:spacing w:before="320" w:after="200"/>
      <w:outlineLvl w:val="8"/>
    </w:pPr>
    <w:rPr>
      <w:rFonts w:ascii="Arial" w:hAnsi="Arial" w:eastAsia="Arial" w:cs="Arial"/>
      <w:i/>
      <w:iCs/>
      <w:sz w:val="21"/>
      <w:szCs w:val="21"/>
    </w:rPr>
  </w:style>
  <w:style w:type="character" w:styleId="693" w:default="1">
    <w:name w:val="Default Paragraph Font"/>
    <w:uiPriority w:val="0"/>
    <w:semiHidden/>
    <w:qFormat/>
  </w:style>
  <w:style w:type="table" w:styleId="694" w:default="1">
    <w:name w:val="Normal Table"/>
    <w:uiPriority w:val="0"/>
    <w:semiHidden/>
    <w:qFormat/>
    <w:tblPr>
      <w:tblCellMar>
        <w:left w:w="108" w:type="dxa"/>
        <w:top w:w="0" w:type="dxa"/>
        <w:right w:w="108" w:type="dxa"/>
        <w:bottom w:w="0" w:type="dxa"/>
      </w:tblCellMar>
    </w:tblPr>
  </w:style>
  <w:style w:type="paragraph" w:styleId="695">
    <w:name w:val="toc 7"/>
    <w:basedOn w:val="683"/>
    <w:next w:val="683"/>
    <w:uiPriority w:val="39"/>
    <w:unhideWhenUsed/>
    <w:qFormat/>
    <w:pPr>
      <w:ind w:left="1701" w:right="0" w:firstLine="0"/>
      <w:spacing w:after="57"/>
    </w:pPr>
  </w:style>
  <w:style w:type="paragraph" w:styleId="696">
    <w:name w:val="Normal Indent"/>
    <w:uiPriority w:val="99"/>
    <w:unhideWhenUsed/>
    <w:qFormat/>
    <w:pPr>
      <w:ind w:firstLine="420"/>
      <w:jc w:val="left"/>
      <w:widowControl w:val="off"/>
    </w:pPr>
    <w:rPr>
      <w:rFonts w:hint="default" w:ascii="楷体_GB2312" w:hAnsi="楷体_GB2312" w:eastAsia="楷体_GB2312" w:cs="Times New Roman"/>
      <w:sz w:val="24"/>
      <w:szCs w:val="20"/>
      <w:lang w:val="en-US" w:eastAsia="zh-CN" w:bidi="ar-SA"/>
    </w:rPr>
  </w:style>
  <w:style w:type="paragraph" w:styleId="697">
    <w:name w:val="Caption"/>
    <w:basedOn w:val="683"/>
    <w:next w:val="68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8">
    <w:name w:val="annotation text"/>
    <w:basedOn w:val="683"/>
    <w:uiPriority w:val="99"/>
    <w:semiHidden/>
    <w:unhideWhenUsed/>
    <w:qFormat/>
    <w:pPr>
      <w:jc w:val="left"/>
    </w:pPr>
  </w:style>
  <w:style w:type="paragraph" w:styleId="699">
    <w:name w:val="Body Text"/>
    <w:basedOn w:val="683"/>
    <w:uiPriority w:val="99"/>
    <w:unhideWhenUsed/>
    <w:qFormat/>
    <w:pPr>
      <w:jc w:val="both"/>
      <w:spacing w:after="120"/>
      <w:widowControl w:val="off"/>
    </w:pPr>
    <w:rPr>
      <w:rFonts w:ascii="Times New Roman" w:hAnsi="Times New Roman" w:eastAsia="宋体" w:cs="Times New Roman"/>
      <w:sz w:val="21"/>
      <w:szCs w:val="24"/>
      <w:lang w:val="en-US" w:eastAsia="zh-CN" w:bidi="ar-SA"/>
    </w:rPr>
  </w:style>
  <w:style w:type="paragraph" w:styleId="700">
    <w:name w:val="Body Text Indent"/>
    <w:basedOn w:val="683"/>
    <w:uiPriority w:val="99"/>
    <w:unhideWhenUsed/>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701">
    <w:name w:val="toc 5"/>
    <w:basedOn w:val="683"/>
    <w:next w:val="683"/>
    <w:uiPriority w:val="39"/>
    <w:unhideWhenUsed/>
    <w:qFormat/>
    <w:pPr>
      <w:ind w:left="1134" w:right="0" w:firstLine="0"/>
      <w:spacing w:after="57"/>
    </w:pPr>
  </w:style>
  <w:style w:type="paragraph" w:styleId="702">
    <w:name w:val="toc 3"/>
    <w:basedOn w:val="683"/>
    <w:next w:val="683"/>
    <w:uiPriority w:val="39"/>
    <w:unhideWhenUsed/>
    <w:qFormat/>
    <w:pPr>
      <w:ind w:left="567" w:right="0" w:firstLine="0"/>
      <w:spacing w:after="57"/>
    </w:pPr>
  </w:style>
  <w:style w:type="paragraph" w:styleId="703">
    <w:name w:val="toc 8"/>
    <w:basedOn w:val="683"/>
    <w:next w:val="683"/>
    <w:uiPriority w:val="39"/>
    <w:unhideWhenUsed/>
    <w:qFormat/>
    <w:pPr>
      <w:ind w:left="1984" w:right="0" w:firstLine="0"/>
      <w:spacing w:after="57"/>
    </w:pPr>
  </w:style>
  <w:style w:type="paragraph" w:styleId="704">
    <w:name w:val="endnote text"/>
    <w:basedOn w:val="683"/>
    <w:link w:val="867"/>
    <w:uiPriority w:val="99"/>
    <w:semiHidden/>
    <w:unhideWhenUsed/>
    <w:qFormat/>
    <w:pPr>
      <w:spacing w:after="0" w:line="240" w:lineRule="auto"/>
    </w:pPr>
    <w:rPr>
      <w:sz w:val="20"/>
    </w:rPr>
  </w:style>
  <w:style w:type="paragraph" w:styleId="705">
    <w:name w:val="Footer"/>
    <w:basedOn w:val="683"/>
    <w:link w:val="740"/>
    <w:uiPriority w:val="99"/>
    <w:unhideWhenUsed/>
    <w:qFormat/>
    <w:pPr>
      <w:spacing w:after="0" w:line="240" w:lineRule="auto"/>
      <w:tabs>
        <w:tab w:val="center" w:pos="7143" w:leader="none"/>
        <w:tab w:val="right" w:pos="14287" w:leader="none"/>
      </w:tabs>
    </w:pPr>
  </w:style>
  <w:style w:type="paragraph" w:styleId="706">
    <w:name w:val="Header"/>
    <w:basedOn w:val="683"/>
    <w:link w:val="738"/>
    <w:uiPriority w:val="99"/>
    <w:unhideWhenUsed/>
    <w:qFormat/>
    <w:pPr>
      <w:spacing w:after="0" w:line="240" w:lineRule="auto"/>
      <w:tabs>
        <w:tab w:val="center" w:pos="7143" w:leader="none"/>
        <w:tab w:val="right" w:pos="14287" w:leader="none"/>
      </w:tabs>
    </w:pPr>
  </w:style>
  <w:style w:type="paragraph" w:styleId="707">
    <w:name w:val="toc 1"/>
    <w:basedOn w:val="683"/>
    <w:next w:val="683"/>
    <w:uiPriority w:val="39"/>
    <w:unhideWhenUsed/>
    <w:qFormat/>
    <w:pPr>
      <w:ind w:left="0" w:right="0" w:firstLine="0"/>
      <w:spacing w:after="57"/>
    </w:pPr>
  </w:style>
  <w:style w:type="paragraph" w:styleId="708">
    <w:name w:val="toc 4"/>
    <w:basedOn w:val="683"/>
    <w:next w:val="683"/>
    <w:uiPriority w:val="39"/>
    <w:unhideWhenUsed/>
    <w:qFormat/>
    <w:pPr>
      <w:ind w:left="850" w:right="0" w:firstLine="0"/>
      <w:spacing w:after="57"/>
    </w:pPr>
  </w:style>
  <w:style w:type="paragraph" w:styleId="709">
    <w:name w:val="Subtitle"/>
    <w:basedOn w:val="683"/>
    <w:next w:val="683"/>
    <w:link w:val="733"/>
    <w:uiPriority w:val="11"/>
    <w:qFormat/>
    <w:pPr>
      <w:spacing w:before="200" w:after="200"/>
    </w:pPr>
    <w:rPr>
      <w:sz w:val="24"/>
      <w:szCs w:val="24"/>
    </w:rPr>
  </w:style>
  <w:style w:type="paragraph" w:styleId="710">
    <w:name w:val="footnote text"/>
    <w:basedOn w:val="683"/>
    <w:link w:val="866"/>
    <w:uiPriority w:val="99"/>
    <w:semiHidden/>
    <w:unhideWhenUsed/>
    <w:qFormat/>
    <w:pPr>
      <w:spacing w:after="40" w:line="240" w:lineRule="auto"/>
    </w:pPr>
    <w:rPr>
      <w:sz w:val="18"/>
    </w:rPr>
  </w:style>
  <w:style w:type="paragraph" w:styleId="711">
    <w:name w:val="toc 6"/>
    <w:basedOn w:val="683"/>
    <w:next w:val="683"/>
    <w:uiPriority w:val="39"/>
    <w:unhideWhenUsed/>
    <w:qFormat/>
    <w:pPr>
      <w:ind w:left="1417" w:right="0" w:firstLine="0"/>
      <w:spacing w:after="57"/>
    </w:pPr>
  </w:style>
  <w:style w:type="paragraph" w:styleId="712">
    <w:name w:val="table of figures"/>
    <w:basedOn w:val="683"/>
    <w:next w:val="683"/>
    <w:uiPriority w:val="99"/>
    <w:unhideWhenUsed/>
    <w:qFormat/>
    <w:pPr>
      <w:spacing w:after="0" w:afterAutospacing="0"/>
    </w:pPr>
  </w:style>
  <w:style w:type="paragraph" w:styleId="713">
    <w:name w:val="toc 2"/>
    <w:basedOn w:val="683"/>
    <w:next w:val="683"/>
    <w:uiPriority w:val="39"/>
    <w:unhideWhenUsed/>
    <w:qFormat/>
    <w:pPr>
      <w:ind w:left="283" w:right="0" w:firstLine="0"/>
      <w:spacing w:after="57"/>
    </w:pPr>
  </w:style>
  <w:style w:type="paragraph" w:styleId="714">
    <w:name w:val="toc 9"/>
    <w:basedOn w:val="683"/>
    <w:next w:val="683"/>
    <w:uiPriority w:val="39"/>
    <w:unhideWhenUsed/>
    <w:qFormat/>
    <w:pPr>
      <w:ind w:left="2268" w:right="0" w:firstLine="0"/>
      <w:spacing w:after="57"/>
    </w:pPr>
  </w:style>
  <w:style w:type="paragraph" w:styleId="715">
    <w:name w:val="Title"/>
    <w:basedOn w:val="683"/>
    <w:next w:val="683"/>
    <w:link w:val="732"/>
    <w:uiPriority w:val="10"/>
    <w:qFormat/>
    <w:pPr>
      <w:contextualSpacing/>
      <w:spacing w:before="300" w:after="200"/>
    </w:pPr>
    <w:rPr>
      <w:sz w:val="48"/>
      <w:szCs w:val="48"/>
    </w:rPr>
  </w:style>
  <w:style w:type="paragraph" w:styleId="716">
    <w:name w:val="Body Text First Indent 2"/>
    <w:basedOn w:val="700"/>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17">
    <w:name w:val="Table Grid"/>
    <w:basedOn w:val="6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endnote reference"/>
    <w:basedOn w:val="693"/>
    <w:uiPriority w:val="99"/>
    <w:semiHidden/>
    <w:unhideWhenUsed/>
    <w:qFormat/>
    <w:rPr>
      <w:vertAlign w:val="superscript"/>
    </w:rPr>
  </w:style>
  <w:style w:type="character" w:styleId="719">
    <w:name w:val="Hyperlink"/>
    <w:basedOn w:val="693"/>
    <w:uiPriority w:val="0"/>
    <w:qFormat/>
    <w:rPr>
      <w:color w:val="0000ff"/>
      <w:u w:val="single"/>
    </w:rPr>
  </w:style>
  <w:style w:type="character" w:styleId="720">
    <w:name w:val="footnote reference"/>
    <w:basedOn w:val="693"/>
    <w:uiPriority w:val="99"/>
    <w:unhideWhenUsed/>
    <w:qFormat/>
    <w:rPr>
      <w:vertAlign w:val="superscript"/>
    </w:rPr>
  </w:style>
  <w:style w:type="character" w:styleId="721" w:customStyle="1">
    <w:name w:val="Heading 1 Char"/>
    <w:basedOn w:val="693"/>
    <w:link w:val="684"/>
    <w:uiPriority w:val="9"/>
    <w:qFormat/>
    <w:rPr>
      <w:rFonts w:ascii="Arial" w:hAnsi="Arial" w:eastAsia="Arial" w:cs="Arial"/>
      <w:sz w:val="40"/>
      <w:szCs w:val="40"/>
    </w:rPr>
  </w:style>
  <w:style w:type="character" w:styleId="722" w:customStyle="1">
    <w:name w:val="Heading 2 Char"/>
    <w:basedOn w:val="693"/>
    <w:link w:val="685"/>
    <w:uiPriority w:val="9"/>
    <w:qFormat/>
    <w:rPr>
      <w:rFonts w:ascii="Arial" w:hAnsi="Arial" w:eastAsia="Arial" w:cs="Arial"/>
      <w:sz w:val="34"/>
    </w:rPr>
  </w:style>
  <w:style w:type="character" w:styleId="723" w:customStyle="1">
    <w:name w:val="Heading 3 Char"/>
    <w:basedOn w:val="693"/>
    <w:link w:val="686"/>
    <w:uiPriority w:val="9"/>
    <w:qFormat/>
    <w:rPr>
      <w:rFonts w:ascii="Arial" w:hAnsi="Arial" w:eastAsia="Arial" w:cs="Arial"/>
      <w:sz w:val="30"/>
      <w:szCs w:val="30"/>
    </w:rPr>
  </w:style>
  <w:style w:type="character" w:styleId="724" w:customStyle="1">
    <w:name w:val="Heading 4 Char"/>
    <w:basedOn w:val="693"/>
    <w:uiPriority w:val="9"/>
    <w:qFormat/>
    <w:rPr>
      <w:rFonts w:ascii="Arial" w:hAnsi="Arial" w:eastAsia="Arial" w:cs="Arial"/>
      <w:b/>
      <w:bCs/>
      <w:sz w:val="26"/>
      <w:szCs w:val="26"/>
    </w:rPr>
  </w:style>
  <w:style w:type="character" w:styleId="725" w:customStyle="1">
    <w:name w:val="Heading 5 Char"/>
    <w:basedOn w:val="693"/>
    <w:link w:val="688"/>
    <w:uiPriority w:val="9"/>
    <w:qFormat/>
    <w:rPr>
      <w:rFonts w:ascii="Arial" w:hAnsi="Arial" w:eastAsia="Arial" w:cs="Arial"/>
      <w:b/>
      <w:bCs/>
      <w:sz w:val="24"/>
      <w:szCs w:val="24"/>
    </w:rPr>
  </w:style>
  <w:style w:type="character" w:styleId="726" w:customStyle="1">
    <w:name w:val="Heading 6 Char"/>
    <w:basedOn w:val="693"/>
    <w:link w:val="689"/>
    <w:uiPriority w:val="9"/>
    <w:qFormat/>
    <w:rPr>
      <w:rFonts w:ascii="Arial" w:hAnsi="Arial" w:eastAsia="Arial" w:cs="Arial"/>
      <w:b/>
      <w:bCs/>
      <w:sz w:val="22"/>
      <w:szCs w:val="22"/>
    </w:rPr>
  </w:style>
  <w:style w:type="character" w:styleId="727" w:customStyle="1">
    <w:name w:val="Heading 7 Char"/>
    <w:basedOn w:val="693"/>
    <w:link w:val="690"/>
    <w:uiPriority w:val="9"/>
    <w:qFormat/>
    <w:rPr>
      <w:rFonts w:ascii="Arial" w:hAnsi="Arial" w:eastAsia="Arial" w:cs="Arial"/>
      <w:b/>
      <w:bCs/>
      <w:i/>
      <w:iCs/>
      <w:sz w:val="22"/>
      <w:szCs w:val="22"/>
    </w:rPr>
  </w:style>
  <w:style w:type="character" w:styleId="728" w:customStyle="1">
    <w:name w:val="Heading 8 Char"/>
    <w:basedOn w:val="693"/>
    <w:link w:val="691"/>
    <w:uiPriority w:val="9"/>
    <w:qFormat/>
    <w:rPr>
      <w:rFonts w:ascii="Arial" w:hAnsi="Arial" w:eastAsia="Arial" w:cs="Arial"/>
      <w:i/>
      <w:iCs/>
      <w:sz w:val="22"/>
      <w:szCs w:val="22"/>
    </w:rPr>
  </w:style>
  <w:style w:type="character" w:styleId="729" w:customStyle="1">
    <w:name w:val="Heading 9 Char"/>
    <w:basedOn w:val="693"/>
    <w:link w:val="692"/>
    <w:uiPriority w:val="9"/>
    <w:qFormat/>
    <w:rPr>
      <w:rFonts w:ascii="Arial" w:hAnsi="Arial" w:eastAsia="Arial" w:cs="Arial"/>
      <w:i/>
      <w:iCs/>
      <w:sz w:val="21"/>
      <w:szCs w:val="21"/>
    </w:rPr>
  </w:style>
  <w:style w:type="paragraph" w:styleId="730">
    <w:name w:val="List Paragraph"/>
    <w:basedOn w:val="683"/>
    <w:uiPriority w:val="34"/>
    <w:qFormat/>
    <w:pPr>
      <w:contextualSpacing/>
      <w:ind w:left="720"/>
    </w:pPr>
  </w:style>
  <w:style w:type="paragraph" w:styleId="731">
    <w:name w:val="No Spacing"/>
    <w:uiPriority w:val="1"/>
    <w:qFormat/>
    <w:pPr>
      <w:spacing w:before="0" w:after="0" w:line="240" w:lineRule="auto"/>
    </w:pPr>
    <w:rPr>
      <w:rFonts w:hint="default" w:asciiTheme="minorHAnsi" w:hAnsiTheme="minorHAnsi" w:eastAsiaTheme="minorEastAsia" w:cstheme="minorBidi"/>
    </w:rPr>
  </w:style>
  <w:style w:type="character" w:styleId="732" w:customStyle="1">
    <w:name w:val="Title Char"/>
    <w:basedOn w:val="693"/>
    <w:link w:val="715"/>
    <w:uiPriority w:val="10"/>
    <w:qFormat/>
    <w:rPr>
      <w:sz w:val="48"/>
      <w:szCs w:val="48"/>
    </w:rPr>
  </w:style>
  <w:style w:type="character" w:styleId="733" w:customStyle="1">
    <w:name w:val="Subtitle Char"/>
    <w:basedOn w:val="693"/>
    <w:link w:val="709"/>
    <w:uiPriority w:val="11"/>
    <w:qFormat/>
    <w:rPr>
      <w:sz w:val="24"/>
      <w:szCs w:val="24"/>
    </w:rPr>
  </w:style>
  <w:style w:type="paragraph" w:styleId="734">
    <w:name w:val="Quote"/>
    <w:basedOn w:val="683"/>
    <w:next w:val="683"/>
    <w:link w:val="735"/>
    <w:uiPriority w:val="29"/>
    <w:qFormat/>
    <w:pPr>
      <w:ind w:left="720" w:right="720"/>
    </w:pPr>
    <w:rPr>
      <w:i/>
    </w:rPr>
  </w:style>
  <w:style w:type="character" w:styleId="735" w:customStyle="1">
    <w:name w:val="Quote Char"/>
    <w:link w:val="734"/>
    <w:uiPriority w:val="29"/>
    <w:qFormat/>
    <w:rPr>
      <w:i/>
    </w:rPr>
  </w:style>
  <w:style w:type="paragraph" w:styleId="736">
    <w:name w:val="Intense Quote"/>
    <w:basedOn w:val="683"/>
    <w:next w:val="683"/>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customStyle="1">
    <w:name w:val="Intense Quote Char"/>
    <w:link w:val="736"/>
    <w:uiPriority w:val="30"/>
    <w:qFormat/>
    <w:rPr>
      <w:i/>
    </w:rPr>
  </w:style>
  <w:style w:type="character" w:styleId="738" w:customStyle="1">
    <w:name w:val="Header Char"/>
    <w:basedOn w:val="693"/>
    <w:link w:val="706"/>
    <w:uiPriority w:val="99"/>
    <w:qFormat/>
  </w:style>
  <w:style w:type="character" w:styleId="739" w:customStyle="1">
    <w:name w:val="Footer Char"/>
    <w:basedOn w:val="693"/>
    <w:link w:val="705"/>
    <w:uiPriority w:val="99"/>
    <w:qFormat/>
  </w:style>
  <w:style w:type="character" w:styleId="740" w:customStyle="1">
    <w:name w:val="Caption Char"/>
    <w:link w:val="705"/>
    <w:uiPriority w:val="99"/>
    <w:qFormat/>
  </w:style>
  <w:style w:type="table" w:styleId="741" w:customStyle="1">
    <w:name w:val="Table Grid Light"/>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2"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69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69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69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69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69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69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4"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69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69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69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69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69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69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1"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69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69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69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69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69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69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69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0" w:customStyle="1">
    <w:name w:val="Grid Table 4 - Accent 2"/>
    <w:basedOn w:val="69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1" w:customStyle="1">
    <w:name w:val="Grid Table 4 - Accent 3"/>
    <w:basedOn w:val="69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2" w:customStyle="1">
    <w:name w:val="Grid Table 4 - Accent 4"/>
    <w:basedOn w:val="69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3" w:customStyle="1">
    <w:name w:val="Grid Table 4 - Accent 5"/>
    <w:basedOn w:val="69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4" w:customStyle="1">
    <w:name w:val="Grid Table 4 - Accent 6"/>
    <w:basedOn w:val="69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5"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77" w:customStyle="1">
    <w:name w:val="Grid Table 5 Dark - Accent 2"/>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78" w:customStyle="1">
    <w:name w:val="Grid Table 5 Dark - Accent 3"/>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79" w:customStyle="1">
    <w:name w:val="Grid Table 5 Dark- Accent 4"/>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0" w:customStyle="1">
    <w:name w:val="Grid Table 5 Dark - Accent 5"/>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1" w:customStyle="1">
    <w:name w:val="Grid Table 5 Dark - Accent 6"/>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2"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6 Colorful - Accent 1"/>
    <w:basedOn w:val="69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4" w:customStyle="1">
    <w:name w:val="Grid Table 6 Colorful - Accent 2"/>
    <w:basedOn w:val="69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5" w:customStyle="1">
    <w:name w:val="Grid Table 6 Colorful - Accent 3"/>
    <w:basedOn w:val="69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6" w:customStyle="1">
    <w:name w:val="Grid Table 6 Colorful - Accent 4"/>
    <w:basedOn w:val="69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87" w:customStyle="1">
    <w:name w:val="Grid Table 6 Colorful - Accent 5"/>
    <w:basedOn w:val="69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8" w:customStyle="1">
    <w:name w:val="Grid Table 6 Colorful - Accent 6"/>
    <w:basedOn w:val="69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89"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69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69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69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69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69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69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6"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69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69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69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69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69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69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3"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2 - Accent 1"/>
    <w:basedOn w:val="69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5" w:customStyle="1">
    <w:name w:val="List Table 2 - Accent 2"/>
    <w:basedOn w:val="69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6" w:customStyle="1">
    <w:name w:val="List Table 2 - Accent 3"/>
    <w:basedOn w:val="69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07" w:customStyle="1">
    <w:name w:val="List Table 2 - Accent 4"/>
    <w:basedOn w:val="69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08" w:customStyle="1">
    <w:name w:val="List Table 2 - Accent 5"/>
    <w:basedOn w:val="69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09" w:customStyle="1">
    <w:name w:val="List Table 2 - Accent 6"/>
    <w:basedOn w:val="69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0"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69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2" w:customStyle="1">
    <w:name w:val="List Table 3 - Accent 2"/>
    <w:basedOn w:val="69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69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69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69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69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17"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69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9" w:customStyle="1">
    <w:name w:val="List Table 4 - Accent 2"/>
    <w:basedOn w:val="69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0" w:customStyle="1">
    <w:name w:val="List Table 4 - Accent 3"/>
    <w:basedOn w:val="69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1" w:customStyle="1">
    <w:name w:val="List Table 4 - Accent 4"/>
    <w:basedOn w:val="69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2" w:customStyle="1">
    <w:name w:val="List Table 4 - Accent 5"/>
    <w:basedOn w:val="69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3" w:customStyle="1">
    <w:name w:val="List Table 4 - Accent 6"/>
    <w:basedOn w:val="69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4"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1"/>
    <w:basedOn w:val="69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2"/>
    <w:basedOn w:val="69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3"/>
    <w:basedOn w:val="69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4"/>
    <w:basedOn w:val="69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5"/>
    <w:basedOn w:val="69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6"/>
    <w:basedOn w:val="69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6 Colorful - Accent 1"/>
    <w:basedOn w:val="69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3" w:customStyle="1">
    <w:name w:val="List Table 6 Colorful - Accent 2"/>
    <w:basedOn w:val="69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4" w:customStyle="1">
    <w:name w:val="List Table 6 Colorful - Accent 3"/>
    <w:basedOn w:val="69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5" w:customStyle="1">
    <w:name w:val="List Table 6 Colorful - Accent 4"/>
    <w:basedOn w:val="69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6" w:customStyle="1">
    <w:name w:val="List Table 6 Colorful - Accent 5"/>
    <w:basedOn w:val="69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37" w:customStyle="1">
    <w:name w:val="List Table 6 Colorful - Accent 6"/>
    <w:basedOn w:val="69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38"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69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69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69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69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69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69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Lined - Accent 1"/>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47" w:customStyle="1">
    <w:name w:val="Lined - Accent 2"/>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48" w:customStyle="1">
    <w:name w:val="Lined - Accent 3"/>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49" w:customStyle="1">
    <w:name w:val="Lined - Accent 4"/>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0" w:customStyle="1">
    <w:name w:val="Lined - Accent 5"/>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1" w:customStyle="1">
    <w:name w:val="Lined - Accent 6"/>
    <w:basedOn w:val="6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2" w:customStyle="1">
    <w:name w:val="Bordered &amp; Lined - Accent"/>
    <w:basedOn w:val="6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Bordered &amp; Lined - Accent 1"/>
    <w:basedOn w:val="69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4" w:customStyle="1">
    <w:name w:val="Bordered &amp; Lined - Accent 2"/>
    <w:basedOn w:val="69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5" w:customStyle="1">
    <w:name w:val="Bordered &amp; Lined - Accent 3"/>
    <w:basedOn w:val="69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6" w:customStyle="1">
    <w:name w:val="Bordered &amp; Lined - Accent 4"/>
    <w:basedOn w:val="69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7" w:customStyle="1">
    <w:name w:val="Bordered &amp; Lined - Accent 5"/>
    <w:basedOn w:val="69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8" w:customStyle="1">
    <w:name w:val="Bordered &amp; Lined - Accent 6"/>
    <w:basedOn w:val="69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9" w:customStyle="1">
    <w:name w:val="Bordered"/>
    <w:basedOn w:val="6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0" w:customStyle="1">
    <w:name w:val="Bordered - Accent 1"/>
    <w:basedOn w:val="69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1" w:customStyle="1">
    <w:name w:val="Bordered - Accent 2"/>
    <w:basedOn w:val="69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2" w:customStyle="1">
    <w:name w:val="Bordered - Accent 3"/>
    <w:basedOn w:val="69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3" w:customStyle="1">
    <w:name w:val="Bordered - Accent 4"/>
    <w:basedOn w:val="69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4" w:customStyle="1">
    <w:name w:val="Bordered - Accent 5"/>
    <w:basedOn w:val="69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5" w:customStyle="1">
    <w:name w:val="Bordered - Accent 6"/>
    <w:basedOn w:val="69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6" w:customStyle="1">
    <w:name w:val="Footnote Text Char"/>
    <w:link w:val="710"/>
    <w:uiPriority w:val="99"/>
    <w:qFormat/>
    <w:rPr>
      <w:sz w:val="18"/>
    </w:rPr>
  </w:style>
  <w:style w:type="character" w:styleId="867" w:customStyle="1">
    <w:name w:val="Endnote Text Char"/>
    <w:link w:val="704"/>
    <w:uiPriority w:val="99"/>
    <w:qFormat/>
    <w:rPr>
      <w:sz w:val="20"/>
    </w:rPr>
  </w:style>
  <w:style w:type="paragraph" w:styleId="868" w:customStyle="1">
    <w:name w:val="TOC Heading"/>
    <w:uiPriority w:val="39"/>
    <w:unhideWhenUsed/>
    <w:qFormat/>
    <w:rPr>
      <w:rFonts w:hint="default" w:asciiTheme="minorHAnsi" w:hAnsiTheme="minorHAnsi" w:eastAsiaTheme="minorEastAsia" w:cstheme="minorBidi"/>
    </w:rPr>
  </w:style>
  <w:style w:type="paragraph" w:styleId="869" w:customStyle="1">
    <w:name w:val="_正文段落"/>
    <w:uiPriority w:val="0"/>
    <w:qFormat/>
    <w:pPr>
      <w:ind w:firstLine="480"/>
      <w:jc w:val="both"/>
      <w:spacing w:line="360" w:lineRule="auto"/>
      <w:widowControl w:val="off"/>
    </w:pPr>
    <w:rPr>
      <w:rFonts w:hint="default" w:ascii="宋体" w:hAnsi="宋体" w:eastAsia="宋体" w:cs="Times New Roman"/>
      <w:sz w:val="24"/>
      <w:szCs w:val="24"/>
      <w:lang w:val="en-US" w:eastAsia="zh-CN" w:bidi="ar-SA"/>
    </w:rPr>
  </w:style>
  <w:style w:type="paragraph" w:styleId="870" w:customStyle="1">
    <w:name w:val="首行缩进"/>
    <w:uiPriority w:val="0"/>
    <w:qFormat/>
    <w:pPr>
      <w:ind w:firstLine="480"/>
      <w:jc w:val="left"/>
      <w:spacing w:line="360" w:lineRule="auto"/>
      <w:widowControl w:val="off"/>
    </w:pPr>
    <w:rPr>
      <w:rFonts w:hint="default" w:ascii="宋体" w:hAnsi="宋体" w:eastAsia="宋体" w:cs="Times New Roman"/>
      <w:sz w:val="24"/>
      <w:szCs w:val="24"/>
      <w:lang w:val="en-US" w:eastAsia="zh-CN" w:bidi="ar-SA"/>
    </w:rPr>
  </w:style>
  <w:style w:type="paragraph" w:styleId="871" w:customStyle="1">
    <w:name w:val="段"/>
    <w:next w:val="683"/>
    <w:uiPriority w:val="0"/>
    <w:qFormat/>
    <w:pPr>
      <w:ind w:firstLine="200"/>
      <w:jc w:val="both"/>
    </w:pPr>
    <w:rPr>
      <w:rFonts w:hint="default" w:ascii="宋体" w:hAnsi="Calibri" w:eastAsia="宋体" w:cs="Times New Roman"/>
      <w:sz w:val="21"/>
      <w:lang w:val="en-US" w:eastAsia="zh-CN" w:bidi="ar-SA"/>
    </w:rPr>
  </w:style>
  <w:style w:type="paragraph" w:styleId="872" w:customStyle="1">
    <w:name w:val="Plain Text2"/>
    <w:basedOn w:val="683"/>
    <w:uiPriority w:val="0"/>
    <w:qFormat/>
    <w:rPr>
      <w:rFonts w:hint="eastAsia" w:ascii="宋体" w:hAnsi="Courier New" w:eastAsia="楷体_GB2312"/>
      <w:sz w:val="28"/>
    </w:rPr>
  </w:style>
  <w:style w:type="paragraph" w:styleId="873" w:customStyle="1">
    <w:name w:val="正文首行缩进 21"/>
    <w:uiPriority w:val="0"/>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874" w:customStyle="1">
    <w:name w:val="正文文本缩进1"/>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875"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楷体_GB2312" w:cs="Times New Roman"/>
      <w:sz w:val="18"/>
      <w:lang w:val="en-US" w:eastAsia="zh-CN" w:bidi="ar-SA"/>
    </w:rPr>
  </w:style>
  <w:style w:type="paragraph" w:styleId="876"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lang w:val="en-US" w:eastAsia="zh-CN" w:bidi="ar-SA"/>
    </w:rPr>
  </w:style>
  <w:style w:type="character" w:styleId="877" w:customStyle="1">
    <w:name w:val="页码1"/>
    <w:link w:val="683"/>
    <w:uiPriority w:val="0"/>
    <w:qFormat/>
    <w:rPr>
      <w:rFonts w:ascii="Times New Roman" w:hAnsi="Times New Roman" w:eastAsia="宋体" w:cs="Times New Roman"/>
      <w:sz w:val="21"/>
      <w:szCs w:val="24"/>
      <w:lang w:val="en-US" w:eastAsia="zh-CN" w:bidi="ar-SA"/>
    </w:rPr>
  </w:style>
  <w:style w:type="paragraph" w:styleId="878" w:customStyle="1">
    <w:name w:val="列出段落1"/>
    <w:basedOn w:val="683"/>
    <w:uiPriority w:val="0"/>
    <w:qFormat/>
    <w:pPr>
      <w:ind w:firstLine="420"/>
    </w:pPr>
    <w:rPr>
      <w:rFonts w:ascii="Calibri" w:hAnsi="Calibri" w:cs="黑体"/>
      <w:szCs w:val="22"/>
    </w:rPr>
  </w:style>
  <w:style w:type="character" w:styleId="879" w:customStyle="1">
    <w:name w:val="font11"/>
    <w:basedOn w:val="693"/>
    <w:uiPriority w:val="0"/>
    <w:qFormat/>
    <w:rPr>
      <w:rFonts w:hint="eastAsia" w:ascii="宋体" w:hAnsi="宋体" w:eastAsia="宋体" w:cs="宋体"/>
      <w:color w:val="000000"/>
      <w:sz w:val="22"/>
      <w:szCs w:val="22"/>
      <w:u w:val="none"/>
    </w:rPr>
  </w:style>
  <w:style w:type="character" w:styleId="880" w:customStyle="1">
    <w:name w:val="font21"/>
    <w:basedOn w:val="693"/>
    <w:uiPriority w:val="0"/>
    <w:qFormat/>
    <w:rPr>
      <w:rFonts w:hint="eastAsia" w:ascii="宋体" w:hAnsi="宋体" w:eastAsia="宋体" w:cs="宋体"/>
      <w:color w:val="ff0000"/>
      <w:sz w:val="22"/>
      <w:szCs w:val="22"/>
      <w:u w:val="none"/>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dc:creator>
  <cp:lastModifiedBy>左宇轩</cp:lastModifiedBy>
  <cp:revision>12</cp:revision>
  <dcterms:created xsi:type="dcterms:W3CDTF">2024-01-25T02:49:00Z</dcterms:created>
  <dcterms:modified xsi:type="dcterms:W3CDTF">2026-01-04T08:48:43Z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AB0367D8E7704F798FD6E39596874FC6_13</vt:lpwstr>
  </property>
  <property fmtid="{D5CDD505-2E9C-101B-9397-08002B2CF9AE}" pid="4" name="KSOTemplateDocerSaveRecord">
    <vt:lpwstr>eyJoZGlkIjoiYzM1MGNmNjQ3ZThkNjAyOGNjMTBhMmU2N2VlNmE2NTIiLCJ1c2VySWQiOiIzMDU1NzMwNTkifQ==</vt:lpwstr>
  </property>
</Properties>
</file>